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4764" w:rsidRDefault="000A4764" w:rsidP="000A4764">
      <w:pPr>
        <w:spacing w:line="240" w:lineRule="auto"/>
        <w:rPr>
          <w:b/>
          <w:color w:val="0070C0"/>
          <w:sz w:val="26"/>
          <w:szCs w:val="26"/>
        </w:rPr>
      </w:pPr>
      <w:r>
        <w:rPr>
          <w:b/>
          <w:noProof/>
          <w:color w:val="0070C0"/>
          <w:sz w:val="26"/>
          <w:szCs w:val="26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-69850</wp:posOffset>
                </wp:positionH>
                <wp:positionV relativeFrom="paragraph">
                  <wp:posOffset>27305</wp:posOffset>
                </wp:positionV>
                <wp:extent cx="6736715" cy="885825"/>
                <wp:effectExtent l="76200" t="57150" r="83185" b="104775"/>
                <wp:wrapNone/>
                <wp:docPr id="2" name="Prostokąt zaokrąglony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36715" cy="885825"/>
                        </a:xfrm>
                        <a:prstGeom prst="roundRect">
                          <a:avLst/>
                        </a:prstGeom>
                        <a:solidFill>
                          <a:schemeClr val="accent3">
                            <a:lumMod val="75000"/>
                          </a:schemeClr>
                        </a:solidFill>
                        <a:ln/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A4764" w:rsidRPr="003B2EE6" w:rsidRDefault="003E3809" w:rsidP="003E3809">
                            <w:pPr>
                              <w:spacing w:line="240" w:lineRule="auto"/>
                              <w:jc w:val="center"/>
                              <w:rPr>
                                <w:sz w:val="40"/>
                                <w:szCs w:val="40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Program współpracy </w:t>
                            </w:r>
                            <w:r w:rsidR="0038379B">
                              <w:rPr>
                                <w:sz w:val="40"/>
                                <w:szCs w:val="40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INTERREG REGION</w:t>
                            </w:r>
                            <w:r>
                              <w:rPr>
                                <w:sz w:val="40"/>
                                <w:szCs w:val="40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U MORZA BAŁTYCKIEGO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Prostokąt zaokrąglony 2" o:spid="_x0000_s1026" style="position:absolute;margin-left:-5.5pt;margin-top:2.15pt;width:530.45pt;height:6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" fillcolor="#76923c [2406]" strokecolor="white [3201]" strokeweight="3pt">
                <v:shadow on="t" color="black" opacity="24903f" origin=",.5" offset="0,.55556mm"/>
                <v:textbox>
                  <w:txbxContent>
                    <w:p w:rsidR="000A4764" w:rsidRPr="003B2EE6" w:rsidRDefault="003E3809" w:rsidP="003E3809">
                      <w:pPr>
                        <w:spacing w:line="240" w:lineRule="auto"/>
                        <w:jc w:val="center"/>
                        <w:rPr>
                          <w:sz w:val="40"/>
                          <w:szCs w:val="40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>
                        <w:rPr>
                          <w:sz w:val="40"/>
                          <w:szCs w:val="40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Program współpracy </w:t>
                      </w:r>
                      <w:r w:rsidR="0038379B">
                        <w:rPr>
                          <w:sz w:val="40"/>
                          <w:szCs w:val="40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INTERREG REGION</w:t>
                      </w:r>
                      <w:r>
                        <w:rPr>
                          <w:sz w:val="40"/>
                          <w:szCs w:val="40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U MORZA BAŁTYCKIEGO</w:t>
                      </w:r>
                    </w:p>
                  </w:txbxContent>
                </v:textbox>
              </v:roundrect>
            </w:pict>
          </mc:Fallback>
        </mc:AlternateContent>
      </w:r>
    </w:p>
    <w:p w:rsidR="000A4764" w:rsidRDefault="000A4764" w:rsidP="000033DD">
      <w:pPr>
        <w:spacing w:line="240" w:lineRule="auto"/>
        <w:jc w:val="center"/>
        <w:rPr>
          <w:b/>
          <w:color w:val="0070C0"/>
          <w:sz w:val="26"/>
          <w:szCs w:val="26"/>
        </w:rPr>
      </w:pPr>
    </w:p>
    <w:p w:rsidR="000A3D51" w:rsidRDefault="000A3D51" w:rsidP="00CD780D">
      <w:pPr>
        <w:spacing w:line="240" w:lineRule="auto"/>
        <w:jc w:val="both"/>
        <w:rPr>
          <w:sz w:val="23"/>
          <w:szCs w:val="23"/>
        </w:rPr>
      </w:pPr>
    </w:p>
    <w:p w:rsidR="004E3A84" w:rsidRDefault="004E3A84" w:rsidP="00CD780D">
      <w:pPr>
        <w:spacing w:line="240" w:lineRule="auto"/>
        <w:jc w:val="both"/>
        <w:rPr>
          <w:sz w:val="23"/>
          <w:szCs w:val="23"/>
        </w:rPr>
      </w:pPr>
    </w:p>
    <w:p w:rsidR="00F535AE" w:rsidRDefault="00BB70B1" w:rsidP="0038379B">
      <w:pPr>
        <w:spacing w:line="240" w:lineRule="auto"/>
        <w:jc w:val="both"/>
        <w:rPr>
          <w:sz w:val="23"/>
          <w:szCs w:val="23"/>
        </w:rPr>
      </w:pPr>
      <w:r>
        <w:rPr>
          <w:sz w:val="23"/>
          <w:szCs w:val="23"/>
        </w:rPr>
        <w:t>Program</w:t>
      </w:r>
      <w:r w:rsidR="009D6382">
        <w:rPr>
          <w:sz w:val="23"/>
          <w:szCs w:val="23"/>
        </w:rPr>
        <w:t xml:space="preserve"> współpracy</w:t>
      </w:r>
      <w:r>
        <w:rPr>
          <w:sz w:val="23"/>
          <w:szCs w:val="23"/>
        </w:rPr>
        <w:t xml:space="preserve"> Interreg Regionu Morza Bałtyckiego jest finansowany ze środków Unii Europejskiej. Jego celem jest wspieranie współpracy transnarodowej w regionie. Partnerzy </w:t>
      </w:r>
      <w:r w:rsidR="00F535AE">
        <w:rPr>
          <w:sz w:val="23"/>
          <w:szCs w:val="23"/>
        </w:rPr>
        <w:t xml:space="preserve">z krajów położonych wokół Morza Bałtyckiego angażują się w projekty, których tematyka odpowiada najistotniejszym wyzwaniom regionu. Finansowanie jest skierowane przede wszystkim do administracji publicznej, instytucji naukowych </w:t>
      </w:r>
      <w:r w:rsidR="00AE4777">
        <w:rPr>
          <w:sz w:val="23"/>
          <w:szCs w:val="23"/>
        </w:rPr>
        <w:br/>
      </w:r>
      <w:r w:rsidR="00F535AE">
        <w:rPr>
          <w:sz w:val="23"/>
          <w:szCs w:val="23"/>
        </w:rPr>
        <w:t>i szkoleniowych, organizacji pozarządowych, agencji sektorowych, stowarzyszeń oraz przedsiębiorców.</w:t>
      </w:r>
      <w:r w:rsidR="006D5763">
        <w:rPr>
          <w:sz w:val="23"/>
          <w:szCs w:val="23"/>
        </w:rPr>
        <w:t xml:space="preserve"> Projekty powinny być realizowane w partnerstwie – co najmniej trzech partnerów z trzech różnych państw członkowskich. Budżet projektu, trwającego przeważnie ok. 3 lat, wynosi od 1,5 do 4,5 mln EUR. </w:t>
      </w:r>
    </w:p>
    <w:p w:rsidR="004A6C33" w:rsidRPr="004A6C33" w:rsidRDefault="000F5CF2" w:rsidP="0038379B">
      <w:pPr>
        <w:spacing w:line="240" w:lineRule="auto"/>
        <w:jc w:val="both"/>
        <w:rPr>
          <w:b/>
          <w:color w:val="00B050"/>
          <w:sz w:val="23"/>
          <w:szCs w:val="23"/>
        </w:rPr>
      </w:pPr>
      <w:r>
        <w:rPr>
          <w:b/>
          <w:color w:val="00B050"/>
          <w:sz w:val="23"/>
          <w:szCs w:val="23"/>
        </w:rPr>
        <w:t>Zakres geograficzny</w:t>
      </w:r>
    </w:p>
    <w:p w:rsidR="004A6C33" w:rsidRDefault="004A6C33" w:rsidP="0038379B">
      <w:pPr>
        <w:spacing w:line="240" w:lineRule="auto"/>
        <w:jc w:val="both"/>
        <w:rPr>
          <w:sz w:val="23"/>
          <w:szCs w:val="23"/>
        </w:rPr>
      </w:pPr>
      <w:r>
        <w:rPr>
          <w:sz w:val="23"/>
          <w:szCs w:val="23"/>
        </w:rPr>
        <w:t>Państwa Regionu Morza Bałtyckiego, ze szczególnym naciskiem na państwa z południowej części regionu.</w:t>
      </w:r>
    </w:p>
    <w:p w:rsidR="000F5CF2" w:rsidRPr="000F5CF2" w:rsidRDefault="000F5CF2" w:rsidP="0038379B">
      <w:pPr>
        <w:spacing w:line="240" w:lineRule="auto"/>
        <w:jc w:val="both"/>
        <w:rPr>
          <w:b/>
          <w:color w:val="00B050"/>
          <w:sz w:val="23"/>
          <w:szCs w:val="23"/>
        </w:rPr>
      </w:pPr>
      <w:r w:rsidRPr="000F5CF2">
        <w:rPr>
          <w:b/>
          <w:color w:val="00B050"/>
          <w:sz w:val="23"/>
          <w:szCs w:val="23"/>
        </w:rPr>
        <w:t>Beneficjenci końcowi</w:t>
      </w:r>
    </w:p>
    <w:p w:rsidR="000F5CF2" w:rsidRPr="0038379B" w:rsidRDefault="00335DD6" w:rsidP="0038379B">
      <w:pPr>
        <w:spacing w:line="240" w:lineRule="auto"/>
        <w:jc w:val="both"/>
        <w:rPr>
          <w:sz w:val="23"/>
          <w:szCs w:val="23"/>
        </w:rPr>
      </w:pPr>
      <w:r>
        <w:rPr>
          <w:sz w:val="23"/>
          <w:szCs w:val="23"/>
        </w:rPr>
        <w:t>Instytucje, organizacje, przedsiębiorcy i mieszkańcy regionu Morza Bałtyckiego.</w:t>
      </w:r>
      <w:bookmarkStart w:id="0" w:name="_GoBack"/>
      <w:bookmarkEnd w:id="0"/>
    </w:p>
    <w:p w:rsidR="00F115B6" w:rsidRPr="007C4C2F" w:rsidRDefault="008F36F9" w:rsidP="00C175BF">
      <w:pPr>
        <w:pStyle w:val="Akapitzlist"/>
        <w:numPr>
          <w:ilvl w:val="0"/>
          <w:numId w:val="3"/>
        </w:numPr>
        <w:rPr>
          <w:color w:val="00B050"/>
          <w:sz w:val="26"/>
          <w:szCs w:val="26"/>
        </w:rPr>
      </w:pPr>
      <w:r w:rsidRPr="007C4C2F">
        <w:rPr>
          <w:b/>
          <w:color w:val="00B050"/>
          <w:sz w:val="26"/>
          <w:szCs w:val="26"/>
        </w:rPr>
        <w:t>Osie Priorytetowe Programu</w:t>
      </w:r>
    </w:p>
    <w:p w:rsidR="007C4C2F" w:rsidRPr="006D1064" w:rsidRDefault="000437DB" w:rsidP="000663C8">
      <w:pPr>
        <w:pStyle w:val="Akapitzlist"/>
        <w:ind w:left="0"/>
        <w:rPr>
          <w:b/>
          <w:szCs w:val="26"/>
        </w:rPr>
      </w:pPr>
      <w:r w:rsidRPr="006D1064">
        <w:rPr>
          <w:b/>
          <w:szCs w:val="26"/>
        </w:rPr>
        <w:t>Oś Priorytetowa</w:t>
      </w:r>
      <w:r w:rsidR="007C4C2F" w:rsidRPr="006D1064">
        <w:rPr>
          <w:b/>
          <w:szCs w:val="26"/>
        </w:rPr>
        <w:t xml:space="preserve"> 1 </w:t>
      </w:r>
      <w:r w:rsidR="000359BC">
        <w:rPr>
          <w:b/>
          <w:szCs w:val="26"/>
        </w:rPr>
        <w:t>Potencjał dla innowacji</w:t>
      </w:r>
    </w:p>
    <w:p w:rsidR="007C4C2F" w:rsidRPr="006D1064" w:rsidRDefault="000437DB" w:rsidP="000663C8">
      <w:pPr>
        <w:pStyle w:val="Akapitzlist"/>
        <w:ind w:left="0"/>
        <w:rPr>
          <w:b/>
          <w:szCs w:val="26"/>
        </w:rPr>
      </w:pPr>
      <w:r w:rsidRPr="006D1064">
        <w:rPr>
          <w:b/>
          <w:szCs w:val="26"/>
        </w:rPr>
        <w:t>Oś Priorytetowa</w:t>
      </w:r>
      <w:r w:rsidR="007C4C2F" w:rsidRPr="006D1064">
        <w:rPr>
          <w:b/>
          <w:szCs w:val="26"/>
        </w:rPr>
        <w:t xml:space="preserve"> 2 Efektywne zarządzanie zasobami naturalnymi</w:t>
      </w:r>
    </w:p>
    <w:p w:rsidR="00F115B6" w:rsidRPr="006D1064" w:rsidRDefault="000437DB" w:rsidP="000663C8">
      <w:pPr>
        <w:pStyle w:val="Akapitzlist"/>
        <w:ind w:left="0"/>
        <w:rPr>
          <w:b/>
          <w:szCs w:val="26"/>
        </w:rPr>
      </w:pPr>
      <w:r w:rsidRPr="006D1064">
        <w:rPr>
          <w:b/>
          <w:szCs w:val="26"/>
        </w:rPr>
        <w:t>Oś Priorytetowa</w:t>
      </w:r>
      <w:r w:rsidR="007C4C2F" w:rsidRPr="006D1064">
        <w:rPr>
          <w:b/>
          <w:szCs w:val="26"/>
        </w:rPr>
        <w:t xml:space="preserve"> 3 Zrównoważony transport</w:t>
      </w:r>
      <w:r w:rsidR="008F36F9" w:rsidRPr="006D1064">
        <w:rPr>
          <w:sz w:val="20"/>
          <w:szCs w:val="23"/>
        </w:rPr>
        <w:br/>
      </w:r>
      <w:r w:rsidRPr="006D1064">
        <w:rPr>
          <w:b/>
          <w:szCs w:val="26"/>
        </w:rPr>
        <w:t>Oś Priorytetowa</w:t>
      </w:r>
      <w:r w:rsidR="007C4C2F" w:rsidRPr="006D1064">
        <w:rPr>
          <w:b/>
          <w:szCs w:val="26"/>
        </w:rPr>
        <w:t xml:space="preserve"> 4 </w:t>
      </w:r>
      <w:r w:rsidR="000359BC">
        <w:rPr>
          <w:b/>
          <w:szCs w:val="26"/>
        </w:rPr>
        <w:t>Zdolność instytucjonalna w zakresie współpracy makroregionalnej</w:t>
      </w:r>
    </w:p>
    <w:p w:rsidR="007C4C2F" w:rsidRPr="00CD780D" w:rsidRDefault="007C4C2F" w:rsidP="000663C8">
      <w:pPr>
        <w:pStyle w:val="Akapitzlist"/>
        <w:ind w:left="0"/>
        <w:rPr>
          <w:sz w:val="23"/>
          <w:szCs w:val="23"/>
        </w:rPr>
      </w:pPr>
    </w:p>
    <w:p w:rsidR="002D78BE" w:rsidRPr="002B6FCF" w:rsidRDefault="002D78BE" w:rsidP="00822CB7">
      <w:pPr>
        <w:pStyle w:val="Akapitzlist"/>
        <w:numPr>
          <w:ilvl w:val="0"/>
          <w:numId w:val="3"/>
        </w:numPr>
        <w:spacing w:line="240" w:lineRule="auto"/>
        <w:rPr>
          <w:color w:val="00B050"/>
          <w:sz w:val="26"/>
          <w:szCs w:val="26"/>
        </w:rPr>
      </w:pPr>
      <w:r w:rsidRPr="002B6FCF">
        <w:rPr>
          <w:b/>
          <w:color w:val="00B050"/>
          <w:sz w:val="26"/>
          <w:szCs w:val="26"/>
        </w:rPr>
        <w:t>Finansowan</w:t>
      </w:r>
      <w:r w:rsidR="00EE2793" w:rsidRPr="002B6FCF">
        <w:rPr>
          <w:b/>
          <w:color w:val="00B050"/>
          <w:sz w:val="26"/>
          <w:szCs w:val="26"/>
        </w:rPr>
        <w:t xml:space="preserve">ie Osi priorytetowych Programu </w:t>
      </w:r>
      <w:r w:rsidRPr="002B6FCF">
        <w:rPr>
          <w:b/>
          <w:color w:val="00B050"/>
          <w:sz w:val="26"/>
          <w:szCs w:val="26"/>
        </w:rPr>
        <w:t>w</w:t>
      </w:r>
      <w:r w:rsidR="002B6FCF">
        <w:rPr>
          <w:b/>
          <w:color w:val="00B050"/>
          <w:sz w:val="26"/>
          <w:szCs w:val="26"/>
        </w:rPr>
        <w:t xml:space="preserve"> </w:t>
      </w:r>
      <w:r w:rsidRPr="002B6FCF">
        <w:rPr>
          <w:b/>
          <w:color w:val="00B050"/>
          <w:sz w:val="26"/>
          <w:szCs w:val="26"/>
        </w:rPr>
        <w:t>EUR</w:t>
      </w:r>
    </w:p>
    <w:tbl>
      <w:tblPr>
        <w:tblW w:w="85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40"/>
        <w:gridCol w:w="1740"/>
        <w:gridCol w:w="1660"/>
        <w:gridCol w:w="2000"/>
      </w:tblGrid>
      <w:tr w:rsidR="006203E7" w:rsidRPr="006203E7" w:rsidTr="006203E7">
        <w:trPr>
          <w:trHeight w:val="290"/>
          <w:jc w:val="center"/>
        </w:trPr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6203E7" w:rsidRPr="006203E7" w:rsidRDefault="006203E7" w:rsidP="006203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6203E7">
              <w:rPr>
                <w:rFonts w:ascii="Calibri" w:eastAsia="Times New Roman" w:hAnsi="Calibri" w:cs="Times New Roman"/>
                <w:color w:val="000000"/>
                <w:lang w:eastAsia="pl-PL"/>
              </w:rPr>
              <w:t>Oś priorytetowa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6203E7" w:rsidRPr="006203E7" w:rsidRDefault="006203E7" w:rsidP="006203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6203E7">
              <w:rPr>
                <w:rFonts w:ascii="Calibri" w:eastAsia="Times New Roman" w:hAnsi="Calibri" w:cs="Times New Roman"/>
                <w:color w:val="000000"/>
                <w:lang w:eastAsia="pl-PL"/>
              </w:rPr>
              <w:t>Wsparcie Unii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6203E7" w:rsidRPr="006203E7" w:rsidRDefault="006203E7" w:rsidP="006203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6203E7">
              <w:rPr>
                <w:rFonts w:ascii="Calibri" w:eastAsia="Times New Roman" w:hAnsi="Calibri" w:cs="Times New Roman"/>
                <w:color w:val="000000"/>
                <w:lang w:eastAsia="pl-PL"/>
              </w:rPr>
              <w:t>Wkład krajowy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9D08E"/>
            <w:noWrap/>
            <w:vAlign w:val="center"/>
            <w:hideMark/>
          </w:tcPr>
          <w:p w:rsidR="006203E7" w:rsidRPr="006203E7" w:rsidRDefault="006203E7" w:rsidP="006203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6203E7">
              <w:rPr>
                <w:rFonts w:ascii="Calibri" w:eastAsia="Times New Roman" w:hAnsi="Calibri" w:cs="Times New Roman"/>
                <w:color w:val="000000"/>
                <w:lang w:eastAsia="pl-PL"/>
              </w:rPr>
              <w:t>Finansowanie ogółem</w:t>
            </w:r>
          </w:p>
        </w:tc>
      </w:tr>
      <w:tr w:rsidR="006203E7" w:rsidRPr="006203E7" w:rsidTr="006203E7">
        <w:trPr>
          <w:trHeight w:val="290"/>
          <w:jc w:val="center"/>
        </w:trPr>
        <w:tc>
          <w:tcPr>
            <w:tcW w:w="3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03E7" w:rsidRPr="006203E7" w:rsidRDefault="006203E7" w:rsidP="006203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6203E7">
              <w:rPr>
                <w:rFonts w:ascii="Calibri" w:eastAsia="Times New Roman" w:hAnsi="Calibri" w:cs="Times New Roman"/>
                <w:color w:val="000000"/>
                <w:lang w:eastAsia="pl-PL"/>
              </w:rPr>
              <w:t>Oś Priorytetowa I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03E7" w:rsidRPr="006203E7" w:rsidRDefault="006203E7" w:rsidP="006203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6203E7">
              <w:rPr>
                <w:rFonts w:ascii="Calibri" w:eastAsia="Times New Roman" w:hAnsi="Calibri" w:cs="Times New Roman"/>
                <w:color w:val="000000"/>
                <w:lang w:eastAsia="pl-PL"/>
              </w:rPr>
              <w:t>84 425 812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03E7" w:rsidRPr="006203E7" w:rsidRDefault="006203E7" w:rsidP="006203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6203E7">
              <w:rPr>
                <w:rFonts w:ascii="Calibri" w:eastAsia="Times New Roman" w:hAnsi="Calibri" w:cs="Times New Roman"/>
                <w:color w:val="000000"/>
                <w:lang w:eastAsia="pl-PL"/>
              </w:rPr>
              <w:t>18 532 495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03E7" w:rsidRPr="006203E7" w:rsidRDefault="006203E7" w:rsidP="006203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6203E7">
              <w:rPr>
                <w:rFonts w:ascii="Calibri" w:eastAsia="Times New Roman" w:hAnsi="Calibri" w:cs="Times New Roman"/>
                <w:color w:val="000000"/>
                <w:lang w:eastAsia="pl-PL"/>
              </w:rPr>
              <w:t>102 958 307</w:t>
            </w:r>
          </w:p>
        </w:tc>
      </w:tr>
      <w:tr w:rsidR="006203E7" w:rsidRPr="006203E7" w:rsidTr="006203E7">
        <w:trPr>
          <w:trHeight w:val="290"/>
          <w:jc w:val="center"/>
        </w:trPr>
        <w:tc>
          <w:tcPr>
            <w:tcW w:w="3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03E7" w:rsidRPr="006203E7" w:rsidRDefault="006203E7" w:rsidP="006203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6203E7">
              <w:rPr>
                <w:rFonts w:ascii="Calibri" w:eastAsia="Times New Roman" w:hAnsi="Calibri" w:cs="Times New Roman"/>
                <w:color w:val="000000"/>
                <w:lang w:eastAsia="pl-PL"/>
              </w:rPr>
              <w:t>Oś Priorytetowa II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03E7" w:rsidRPr="006203E7" w:rsidRDefault="006203E7" w:rsidP="006203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6203E7">
              <w:rPr>
                <w:rFonts w:ascii="Calibri" w:eastAsia="Times New Roman" w:hAnsi="Calibri" w:cs="Times New Roman"/>
                <w:color w:val="000000"/>
                <w:lang w:eastAsia="pl-PL"/>
              </w:rPr>
              <w:t>84 425 812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03E7" w:rsidRPr="006203E7" w:rsidRDefault="006203E7" w:rsidP="006203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6203E7">
              <w:rPr>
                <w:rFonts w:ascii="Calibri" w:eastAsia="Times New Roman" w:hAnsi="Calibri" w:cs="Times New Roman"/>
                <w:color w:val="000000"/>
                <w:lang w:eastAsia="pl-PL"/>
              </w:rPr>
              <w:t>18 532 495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03E7" w:rsidRPr="006203E7" w:rsidRDefault="006203E7" w:rsidP="006203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6203E7">
              <w:rPr>
                <w:rFonts w:ascii="Calibri" w:eastAsia="Times New Roman" w:hAnsi="Calibri" w:cs="Times New Roman"/>
                <w:color w:val="000000"/>
                <w:lang w:eastAsia="pl-PL"/>
              </w:rPr>
              <w:t>102 958 307</w:t>
            </w:r>
          </w:p>
        </w:tc>
      </w:tr>
      <w:tr w:rsidR="006203E7" w:rsidRPr="006203E7" w:rsidTr="006203E7">
        <w:trPr>
          <w:trHeight w:val="290"/>
          <w:jc w:val="center"/>
        </w:trPr>
        <w:tc>
          <w:tcPr>
            <w:tcW w:w="3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03E7" w:rsidRPr="006203E7" w:rsidRDefault="006203E7" w:rsidP="006203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6203E7">
              <w:rPr>
                <w:rFonts w:ascii="Calibri" w:eastAsia="Times New Roman" w:hAnsi="Calibri" w:cs="Times New Roman"/>
                <w:color w:val="000000"/>
                <w:lang w:eastAsia="pl-PL"/>
              </w:rPr>
              <w:t>Oś Priorytetowa III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03E7" w:rsidRPr="006203E7" w:rsidRDefault="006203E7" w:rsidP="006203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6203E7">
              <w:rPr>
                <w:rFonts w:ascii="Calibri" w:eastAsia="Times New Roman" w:hAnsi="Calibri" w:cs="Times New Roman"/>
                <w:color w:val="000000"/>
                <w:lang w:eastAsia="pl-PL"/>
              </w:rPr>
              <w:t>65 957 666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03E7" w:rsidRPr="006203E7" w:rsidRDefault="006203E7" w:rsidP="006203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6203E7">
              <w:rPr>
                <w:rFonts w:ascii="Calibri" w:eastAsia="Times New Roman" w:hAnsi="Calibri" w:cs="Times New Roman"/>
                <w:color w:val="000000"/>
                <w:lang w:eastAsia="pl-PL"/>
              </w:rPr>
              <w:t>14 478 512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03E7" w:rsidRPr="006203E7" w:rsidRDefault="006203E7" w:rsidP="006203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6203E7">
              <w:rPr>
                <w:rFonts w:ascii="Calibri" w:eastAsia="Times New Roman" w:hAnsi="Calibri" w:cs="Times New Roman"/>
                <w:color w:val="000000"/>
                <w:lang w:eastAsia="pl-PL"/>
              </w:rPr>
              <w:t>80 436 178</w:t>
            </w:r>
          </w:p>
        </w:tc>
      </w:tr>
      <w:tr w:rsidR="006203E7" w:rsidRPr="006203E7" w:rsidTr="006203E7">
        <w:trPr>
          <w:trHeight w:val="290"/>
          <w:jc w:val="center"/>
        </w:trPr>
        <w:tc>
          <w:tcPr>
            <w:tcW w:w="3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03E7" w:rsidRPr="006203E7" w:rsidRDefault="006203E7" w:rsidP="006203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6203E7">
              <w:rPr>
                <w:rFonts w:ascii="Calibri" w:eastAsia="Times New Roman" w:hAnsi="Calibri" w:cs="Times New Roman"/>
                <w:color w:val="000000"/>
                <w:lang w:eastAsia="pl-PL"/>
              </w:rPr>
              <w:t>Oś Priorytetowa IV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03E7" w:rsidRPr="006203E7" w:rsidRDefault="006203E7" w:rsidP="006203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6203E7">
              <w:rPr>
                <w:rFonts w:ascii="Calibri" w:eastAsia="Times New Roman" w:hAnsi="Calibri" w:cs="Times New Roman"/>
                <w:color w:val="000000"/>
                <w:lang w:eastAsia="pl-PL"/>
              </w:rPr>
              <w:t>13 191 529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03E7" w:rsidRPr="006203E7" w:rsidRDefault="006203E7" w:rsidP="006203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6203E7">
              <w:rPr>
                <w:rFonts w:ascii="Calibri" w:eastAsia="Times New Roman" w:hAnsi="Calibri" w:cs="Times New Roman"/>
                <w:color w:val="000000"/>
                <w:lang w:eastAsia="pl-PL"/>
              </w:rPr>
              <w:t>2 327 917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03E7" w:rsidRPr="006203E7" w:rsidRDefault="006203E7" w:rsidP="006203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6203E7">
              <w:rPr>
                <w:rFonts w:ascii="Calibri" w:eastAsia="Times New Roman" w:hAnsi="Calibri" w:cs="Times New Roman"/>
                <w:color w:val="000000"/>
                <w:lang w:eastAsia="pl-PL"/>
              </w:rPr>
              <w:t>15 519 446</w:t>
            </w:r>
          </w:p>
        </w:tc>
      </w:tr>
      <w:tr w:rsidR="006203E7" w:rsidRPr="006203E7" w:rsidTr="006203E7">
        <w:trPr>
          <w:trHeight w:val="290"/>
          <w:jc w:val="center"/>
        </w:trPr>
        <w:tc>
          <w:tcPr>
            <w:tcW w:w="3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03E7" w:rsidRPr="006203E7" w:rsidRDefault="006203E7" w:rsidP="006203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6203E7">
              <w:rPr>
                <w:rFonts w:ascii="Calibri" w:eastAsia="Times New Roman" w:hAnsi="Calibri" w:cs="Times New Roman"/>
                <w:color w:val="000000"/>
                <w:lang w:eastAsia="pl-PL"/>
              </w:rPr>
              <w:t>OGÓŁEM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03E7" w:rsidRPr="006203E7" w:rsidRDefault="006203E7" w:rsidP="006203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6203E7">
              <w:rPr>
                <w:rFonts w:ascii="Calibri" w:eastAsia="Times New Roman" w:hAnsi="Calibri" w:cs="Times New Roman"/>
                <w:color w:val="000000"/>
                <w:lang w:eastAsia="pl-PL"/>
              </w:rPr>
              <w:t>248 000 819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03E7" w:rsidRPr="006203E7" w:rsidRDefault="006203E7" w:rsidP="006203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6203E7">
              <w:rPr>
                <w:rFonts w:ascii="Calibri" w:eastAsia="Times New Roman" w:hAnsi="Calibri" w:cs="Times New Roman"/>
                <w:color w:val="000000"/>
                <w:lang w:eastAsia="pl-PL"/>
              </w:rPr>
              <w:t>53 871 419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03E7" w:rsidRPr="006203E7" w:rsidRDefault="006203E7" w:rsidP="006203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6203E7">
              <w:rPr>
                <w:rFonts w:ascii="Calibri" w:eastAsia="Times New Roman" w:hAnsi="Calibri" w:cs="Times New Roman"/>
                <w:color w:val="000000"/>
                <w:lang w:eastAsia="pl-PL"/>
              </w:rPr>
              <w:t>301 872 238</w:t>
            </w:r>
          </w:p>
        </w:tc>
      </w:tr>
    </w:tbl>
    <w:p w:rsidR="002D78BE" w:rsidRDefault="002D78BE" w:rsidP="006203E7">
      <w:pPr>
        <w:spacing w:after="0" w:line="240" w:lineRule="auto"/>
        <w:jc w:val="right"/>
        <w:rPr>
          <w:b/>
          <w:color w:val="F79646" w:themeColor="accent6"/>
          <w:sz w:val="23"/>
          <w:szCs w:val="23"/>
        </w:rPr>
      </w:pPr>
    </w:p>
    <w:p w:rsidR="00E538D7" w:rsidRPr="00CD780D" w:rsidRDefault="00E538D7" w:rsidP="005606C0">
      <w:pPr>
        <w:spacing w:after="0" w:line="240" w:lineRule="auto"/>
        <w:rPr>
          <w:b/>
          <w:color w:val="F79646" w:themeColor="accent6"/>
          <w:sz w:val="23"/>
          <w:szCs w:val="23"/>
        </w:rPr>
      </w:pPr>
    </w:p>
    <w:p w:rsidR="005606C0" w:rsidRPr="00822CB7" w:rsidRDefault="00194810" w:rsidP="00822CB7">
      <w:pPr>
        <w:pStyle w:val="Akapitzlist"/>
        <w:numPr>
          <w:ilvl w:val="0"/>
          <w:numId w:val="3"/>
        </w:numPr>
        <w:spacing w:after="0" w:line="240" w:lineRule="auto"/>
        <w:jc w:val="both"/>
        <w:rPr>
          <w:color w:val="00B050"/>
          <w:sz w:val="26"/>
          <w:szCs w:val="26"/>
        </w:rPr>
      </w:pPr>
      <w:r w:rsidRPr="00822CB7">
        <w:rPr>
          <w:b/>
          <w:color w:val="00B050"/>
          <w:sz w:val="26"/>
          <w:szCs w:val="26"/>
        </w:rPr>
        <w:t>Opis</w:t>
      </w:r>
      <w:r w:rsidR="000359BC">
        <w:rPr>
          <w:b/>
          <w:color w:val="00B050"/>
          <w:sz w:val="26"/>
          <w:szCs w:val="26"/>
        </w:rPr>
        <w:t xml:space="preserve"> Osi</w:t>
      </w:r>
      <w:r w:rsidRPr="00822CB7">
        <w:rPr>
          <w:b/>
          <w:color w:val="00B050"/>
          <w:sz w:val="26"/>
          <w:szCs w:val="26"/>
        </w:rPr>
        <w:t xml:space="preserve"> </w:t>
      </w:r>
      <w:r w:rsidR="000359BC">
        <w:rPr>
          <w:b/>
          <w:color w:val="00B050"/>
          <w:sz w:val="26"/>
          <w:szCs w:val="26"/>
        </w:rPr>
        <w:t>Priorytetowej</w:t>
      </w:r>
      <w:r w:rsidR="00895FB8" w:rsidRPr="00822CB7">
        <w:rPr>
          <w:b/>
          <w:color w:val="00B050"/>
          <w:sz w:val="26"/>
          <w:szCs w:val="26"/>
        </w:rPr>
        <w:t xml:space="preserve"> 1 </w:t>
      </w:r>
      <w:r w:rsidR="000359BC">
        <w:rPr>
          <w:b/>
          <w:color w:val="00B050"/>
          <w:sz w:val="26"/>
          <w:szCs w:val="26"/>
        </w:rPr>
        <w:t>Potencjał dla innowacji</w:t>
      </w:r>
    </w:p>
    <w:p w:rsidR="005606C0" w:rsidRPr="005606C0" w:rsidRDefault="005606C0" w:rsidP="005606C0">
      <w:pPr>
        <w:pStyle w:val="Akapitzlist"/>
        <w:spacing w:after="0" w:line="240" w:lineRule="auto"/>
        <w:jc w:val="both"/>
        <w:rPr>
          <w:color w:val="E36C0A" w:themeColor="accent6" w:themeShade="BF"/>
          <w:sz w:val="26"/>
          <w:szCs w:val="26"/>
        </w:rPr>
      </w:pPr>
    </w:p>
    <w:p w:rsidR="00895FB8" w:rsidRPr="00CD780D" w:rsidRDefault="00895FB8" w:rsidP="00895FB8">
      <w:pPr>
        <w:spacing w:line="240" w:lineRule="auto"/>
        <w:rPr>
          <w:b/>
          <w:sz w:val="23"/>
          <w:szCs w:val="23"/>
          <w:u w:val="single"/>
        </w:rPr>
      </w:pPr>
      <w:r w:rsidRPr="00CD780D">
        <w:rPr>
          <w:b/>
          <w:sz w:val="23"/>
          <w:szCs w:val="23"/>
          <w:u w:val="single"/>
        </w:rPr>
        <w:t>Cele szczegółowe</w:t>
      </w:r>
    </w:p>
    <w:p w:rsidR="00895FB8" w:rsidRPr="009D3A0C" w:rsidRDefault="00AE4777" w:rsidP="009D3A0C">
      <w:pPr>
        <w:spacing w:line="240" w:lineRule="auto"/>
        <w:rPr>
          <w:sz w:val="23"/>
          <w:szCs w:val="23"/>
        </w:rPr>
      </w:pPr>
      <w:r>
        <w:rPr>
          <w:sz w:val="23"/>
          <w:szCs w:val="23"/>
        </w:rPr>
        <w:t>1.</w:t>
      </w:r>
      <w:r w:rsidR="009D3A0C">
        <w:rPr>
          <w:sz w:val="23"/>
          <w:szCs w:val="23"/>
        </w:rPr>
        <w:t xml:space="preserve">1 </w:t>
      </w:r>
      <w:r w:rsidR="00895FB8" w:rsidRPr="009D3A0C">
        <w:rPr>
          <w:sz w:val="23"/>
          <w:szCs w:val="23"/>
        </w:rPr>
        <w:t>Infrastruktura badawcza i innowacyjna</w:t>
      </w:r>
    </w:p>
    <w:p w:rsidR="00895FB8" w:rsidRPr="009D3A0C" w:rsidRDefault="00895FB8" w:rsidP="00C175BF">
      <w:pPr>
        <w:pStyle w:val="Akapitzlist"/>
        <w:numPr>
          <w:ilvl w:val="1"/>
          <w:numId w:val="5"/>
        </w:numPr>
        <w:spacing w:line="240" w:lineRule="auto"/>
        <w:rPr>
          <w:sz w:val="23"/>
          <w:szCs w:val="23"/>
        </w:rPr>
      </w:pPr>
      <w:r w:rsidRPr="009D3A0C">
        <w:rPr>
          <w:sz w:val="23"/>
          <w:szCs w:val="23"/>
        </w:rPr>
        <w:t>Inteligentna specjalizacja</w:t>
      </w:r>
    </w:p>
    <w:p w:rsidR="00895FB8" w:rsidRPr="009D3A0C" w:rsidRDefault="009D3A0C" w:rsidP="009D3A0C">
      <w:pPr>
        <w:spacing w:line="240" w:lineRule="auto"/>
        <w:rPr>
          <w:sz w:val="23"/>
          <w:szCs w:val="23"/>
        </w:rPr>
      </w:pPr>
      <w:r>
        <w:rPr>
          <w:sz w:val="23"/>
          <w:szCs w:val="23"/>
        </w:rPr>
        <w:t xml:space="preserve">1.3 Innowacja </w:t>
      </w:r>
      <w:r w:rsidR="00AE4777">
        <w:rPr>
          <w:sz w:val="23"/>
          <w:szCs w:val="23"/>
        </w:rPr>
        <w:t>nie technologiczna</w:t>
      </w:r>
    </w:p>
    <w:p w:rsidR="009D3A0C" w:rsidRPr="003A6629" w:rsidRDefault="009D3A0C" w:rsidP="009D3A0C">
      <w:pPr>
        <w:spacing w:line="240" w:lineRule="auto"/>
        <w:rPr>
          <w:b/>
          <w:sz w:val="23"/>
          <w:szCs w:val="23"/>
          <w:u w:val="single"/>
        </w:rPr>
      </w:pPr>
      <w:r w:rsidRPr="003A6629">
        <w:rPr>
          <w:b/>
          <w:sz w:val="23"/>
          <w:szCs w:val="23"/>
          <w:u w:val="single"/>
        </w:rPr>
        <w:t>Oczekiwane efekty:</w:t>
      </w:r>
    </w:p>
    <w:p w:rsidR="00895FB8" w:rsidRDefault="009D3A0C" w:rsidP="00AE4777">
      <w:pPr>
        <w:pStyle w:val="Akapitzlist"/>
        <w:numPr>
          <w:ilvl w:val="0"/>
          <w:numId w:val="6"/>
        </w:numPr>
        <w:spacing w:line="240" w:lineRule="auto"/>
        <w:jc w:val="both"/>
        <w:rPr>
          <w:sz w:val="23"/>
          <w:szCs w:val="23"/>
        </w:rPr>
      </w:pPr>
      <w:r>
        <w:rPr>
          <w:sz w:val="23"/>
          <w:szCs w:val="23"/>
        </w:rPr>
        <w:t>Wsparcie tworzenia i komercjalizacji innowacji w Regionie Morza Bałtyckiego.</w:t>
      </w:r>
    </w:p>
    <w:p w:rsidR="009D3A0C" w:rsidRDefault="009D3A0C" w:rsidP="00AE4777">
      <w:pPr>
        <w:pStyle w:val="Akapitzlist"/>
        <w:numPr>
          <w:ilvl w:val="0"/>
          <w:numId w:val="6"/>
        </w:numPr>
        <w:spacing w:line="24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Przetestowanie nowych podejść i rozwiązań poprzez akcje pilotażowe i eksperymenty i przygotowanie </w:t>
      </w:r>
      <w:r w:rsidR="00AE4777">
        <w:rPr>
          <w:sz w:val="23"/>
          <w:szCs w:val="23"/>
        </w:rPr>
        <w:br/>
      </w:r>
      <w:r>
        <w:rPr>
          <w:sz w:val="23"/>
          <w:szCs w:val="23"/>
        </w:rPr>
        <w:t>do ich wdrożenia.</w:t>
      </w:r>
    </w:p>
    <w:p w:rsidR="009D3A0C" w:rsidRDefault="009D3A0C" w:rsidP="00AE4777">
      <w:pPr>
        <w:pStyle w:val="Akapitzlist"/>
        <w:numPr>
          <w:ilvl w:val="0"/>
          <w:numId w:val="6"/>
        </w:numPr>
        <w:spacing w:line="240" w:lineRule="auto"/>
        <w:jc w:val="both"/>
        <w:rPr>
          <w:sz w:val="23"/>
          <w:szCs w:val="23"/>
        </w:rPr>
      </w:pPr>
      <w:r>
        <w:rPr>
          <w:sz w:val="23"/>
          <w:szCs w:val="23"/>
        </w:rPr>
        <w:t>Zwiększenie możliwości innowacyjnych sektora publicznego oraz przedsiębiorstw.</w:t>
      </w:r>
    </w:p>
    <w:p w:rsidR="009D3A0C" w:rsidRDefault="009D3A0C" w:rsidP="00AE4777">
      <w:pPr>
        <w:pStyle w:val="Akapitzlist"/>
        <w:numPr>
          <w:ilvl w:val="0"/>
          <w:numId w:val="6"/>
        </w:numPr>
        <w:spacing w:line="240" w:lineRule="auto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Zwiększenie możliwości zastosowania dotychczasowej infrastruktury badawczej i innowacyjnej </w:t>
      </w:r>
      <w:r w:rsidR="00AE4777">
        <w:rPr>
          <w:sz w:val="23"/>
          <w:szCs w:val="23"/>
        </w:rPr>
        <w:br/>
      </w:r>
      <w:r>
        <w:rPr>
          <w:sz w:val="23"/>
          <w:szCs w:val="23"/>
        </w:rPr>
        <w:t>oraz stworzenie nowej.</w:t>
      </w:r>
    </w:p>
    <w:p w:rsidR="009D3A0C" w:rsidRPr="00334D07" w:rsidRDefault="009D3A0C" w:rsidP="00AE4777">
      <w:pPr>
        <w:pStyle w:val="Akapitzlist"/>
        <w:numPr>
          <w:ilvl w:val="0"/>
          <w:numId w:val="6"/>
        </w:numPr>
        <w:spacing w:line="240" w:lineRule="auto"/>
        <w:jc w:val="both"/>
        <w:rPr>
          <w:sz w:val="23"/>
          <w:szCs w:val="23"/>
        </w:rPr>
      </w:pPr>
      <w:r w:rsidRPr="00334D07">
        <w:rPr>
          <w:sz w:val="23"/>
          <w:szCs w:val="23"/>
        </w:rPr>
        <w:t>Wzrost poprzez koncentrację na obszarach inteligentnej specjalizacji.</w:t>
      </w:r>
    </w:p>
    <w:p w:rsidR="009D3A0C" w:rsidRPr="009D3A0C" w:rsidRDefault="009D3A0C" w:rsidP="00AE4777">
      <w:pPr>
        <w:pStyle w:val="Akapitzlist"/>
        <w:numPr>
          <w:ilvl w:val="0"/>
          <w:numId w:val="6"/>
        </w:numPr>
        <w:spacing w:line="24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Zwiększenie innowacyjności regionu poprzez zwiększenie innowacyjności nie technologicznej organizacji. </w:t>
      </w:r>
    </w:p>
    <w:p w:rsidR="009D3A0C" w:rsidRDefault="00334D07" w:rsidP="005606C0">
      <w:pPr>
        <w:spacing w:line="240" w:lineRule="auto"/>
        <w:rPr>
          <w:b/>
          <w:sz w:val="23"/>
          <w:szCs w:val="23"/>
          <w:u w:val="single"/>
        </w:rPr>
      </w:pPr>
      <w:r>
        <w:rPr>
          <w:b/>
          <w:sz w:val="23"/>
          <w:szCs w:val="23"/>
          <w:u w:val="single"/>
        </w:rPr>
        <w:t>Przykłady</w:t>
      </w:r>
      <w:r w:rsidR="009D3A0C">
        <w:rPr>
          <w:b/>
          <w:sz w:val="23"/>
          <w:szCs w:val="23"/>
          <w:u w:val="single"/>
        </w:rPr>
        <w:t xml:space="preserve"> działań:</w:t>
      </w:r>
    </w:p>
    <w:p w:rsidR="009D3A0C" w:rsidRDefault="00334D07" w:rsidP="00AE4777">
      <w:pPr>
        <w:pStyle w:val="Akapitzlist"/>
        <w:numPr>
          <w:ilvl w:val="0"/>
          <w:numId w:val="7"/>
        </w:numPr>
        <w:spacing w:line="240" w:lineRule="auto"/>
        <w:jc w:val="both"/>
        <w:rPr>
          <w:sz w:val="23"/>
          <w:szCs w:val="23"/>
        </w:rPr>
      </w:pPr>
      <w:r w:rsidRPr="00334D07">
        <w:rPr>
          <w:sz w:val="23"/>
          <w:szCs w:val="23"/>
        </w:rPr>
        <w:t>Dzia</w:t>
      </w:r>
      <w:r>
        <w:rPr>
          <w:sz w:val="23"/>
          <w:szCs w:val="23"/>
        </w:rPr>
        <w:t>łania zmierzające do ochrony zasobów i ich optymalnego wykorzystania, wymiany danych i informacji oraz wprowadzenia wyników badań do działalności gospodarczej.</w:t>
      </w:r>
    </w:p>
    <w:p w:rsidR="00334D07" w:rsidRDefault="00A333CC" w:rsidP="00AE4777">
      <w:pPr>
        <w:pStyle w:val="Akapitzlist"/>
        <w:numPr>
          <w:ilvl w:val="0"/>
          <w:numId w:val="7"/>
        </w:numPr>
        <w:spacing w:line="240" w:lineRule="auto"/>
        <w:jc w:val="both"/>
        <w:rPr>
          <w:sz w:val="23"/>
          <w:szCs w:val="23"/>
        </w:rPr>
      </w:pPr>
      <w:r>
        <w:rPr>
          <w:sz w:val="23"/>
          <w:szCs w:val="23"/>
        </w:rPr>
        <w:t>Odpowiedź na wyzwania zarządzania infrastrukturą badawczą i innowacyjną w postaci wspólnych programów szkoleniowych dla operatorów, tworzenie mechanizmów zapewniających efektywne kosztowo korzystanie z zasobów i właściwe zastosowanie wyników badań.</w:t>
      </w:r>
    </w:p>
    <w:p w:rsidR="00A333CC" w:rsidRDefault="00A333CC" w:rsidP="00AE4777">
      <w:pPr>
        <w:pStyle w:val="Akapitzlist"/>
        <w:numPr>
          <w:ilvl w:val="0"/>
          <w:numId w:val="7"/>
        </w:numPr>
        <w:spacing w:line="24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Określanie i rozbudowywanie ról poszczególnych interesariuszy w rozwoju infrastruktury badawczej </w:t>
      </w:r>
      <w:r w:rsidR="00AE4777">
        <w:rPr>
          <w:sz w:val="23"/>
          <w:szCs w:val="23"/>
        </w:rPr>
        <w:br/>
      </w:r>
      <w:r>
        <w:rPr>
          <w:sz w:val="23"/>
          <w:szCs w:val="23"/>
        </w:rPr>
        <w:t>oraz tworzenie struktur monitorowania i oceny zdolności badawczych.</w:t>
      </w:r>
    </w:p>
    <w:p w:rsidR="00A333CC" w:rsidRDefault="00A333CC" w:rsidP="00AE4777">
      <w:pPr>
        <w:pStyle w:val="Akapitzlist"/>
        <w:numPr>
          <w:ilvl w:val="0"/>
          <w:numId w:val="7"/>
        </w:numPr>
        <w:spacing w:line="24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Tworzenie zachęt oraz programów finansowania w celu poprawy interakcji pomiędzy operatorami infrastruktury badawczej i innowacyjnej, sektorem publicznym i innymi grupami użytkowników, </w:t>
      </w:r>
      <w:r w:rsidR="00AE4777">
        <w:rPr>
          <w:sz w:val="23"/>
          <w:szCs w:val="23"/>
        </w:rPr>
        <w:br/>
      </w:r>
      <w:r>
        <w:rPr>
          <w:sz w:val="23"/>
          <w:szCs w:val="23"/>
        </w:rPr>
        <w:t>w tym przedsiębiorstwami.</w:t>
      </w:r>
    </w:p>
    <w:p w:rsidR="00A333CC" w:rsidRDefault="00EB251F" w:rsidP="00AE4777">
      <w:pPr>
        <w:pStyle w:val="Akapitzlist"/>
        <w:numPr>
          <w:ilvl w:val="0"/>
          <w:numId w:val="7"/>
        </w:numPr>
        <w:spacing w:line="240" w:lineRule="auto"/>
        <w:jc w:val="both"/>
        <w:rPr>
          <w:sz w:val="23"/>
          <w:szCs w:val="23"/>
        </w:rPr>
      </w:pPr>
      <w:r>
        <w:rPr>
          <w:sz w:val="23"/>
          <w:szCs w:val="23"/>
        </w:rPr>
        <w:t>Optymalizacja funkcjonalności stanowisk pomiarowych oraz poszukiwanie synergii poprzez wykorzystywanie ich do wspólnych badań w celu zdefiniowania, wprowadzenia i rozpowszechnienia dobrych praktyk w zakresie użytkowania tego typu infrastruktury lub powiązanie możliwości kilku stanowisk pomiarowych i ustanowienie wspólnych reguł użytkowania.</w:t>
      </w:r>
    </w:p>
    <w:p w:rsidR="00EB251F" w:rsidRDefault="00EB251F" w:rsidP="00AE4777">
      <w:pPr>
        <w:pStyle w:val="Akapitzlist"/>
        <w:numPr>
          <w:ilvl w:val="0"/>
          <w:numId w:val="7"/>
        </w:numPr>
        <w:spacing w:line="240" w:lineRule="auto"/>
        <w:jc w:val="both"/>
        <w:rPr>
          <w:sz w:val="23"/>
          <w:szCs w:val="23"/>
        </w:rPr>
      </w:pPr>
      <w:r>
        <w:rPr>
          <w:sz w:val="23"/>
          <w:szCs w:val="23"/>
        </w:rPr>
        <w:t>Wprowadzenie pilotażowych działań w odpowiedzi na wyzwania społeczne regionu</w:t>
      </w:r>
      <w:r w:rsidR="00FB6AC2">
        <w:rPr>
          <w:sz w:val="23"/>
          <w:szCs w:val="23"/>
        </w:rPr>
        <w:t xml:space="preserve"> bazujące na wspólnych badaniach oraz dążeniu do opracowania najbardziej efektywnego schematu współpracy pomiędzy społecznościami badawczymi, sektorem publicznym oraz biznesem.</w:t>
      </w:r>
    </w:p>
    <w:p w:rsidR="00FB6AC2" w:rsidRDefault="00FB6AC2" w:rsidP="00AE4777">
      <w:pPr>
        <w:pStyle w:val="Akapitzlist"/>
        <w:numPr>
          <w:ilvl w:val="0"/>
          <w:numId w:val="7"/>
        </w:numPr>
        <w:spacing w:line="240" w:lineRule="auto"/>
        <w:jc w:val="both"/>
        <w:rPr>
          <w:sz w:val="23"/>
          <w:szCs w:val="23"/>
        </w:rPr>
      </w:pPr>
      <w:r>
        <w:rPr>
          <w:sz w:val="23"/>
          <w:szCs w:val="23"/>
        </w:rPr>
        <w:t>Stworzenie możliwości networkingowych w oparciu o istniejącą oraz przyszłą infrastruktur badawczą.</w:t>
      </w:r>
    </w:p>
    <w:p w:rsidR="00FB6AC2" w:rsidRDefault="00FB6AC2" w:rsidP="00AE4777">
      <w:pPr>
        <w:pStyle w:val="Akapitzlist"/>
        <w:numPr>
          <w:ilvl w:val="0"/>
          <w:numId w:val="7"/>
        </w:numPr>
        <w:spacing w:line="240" w:lineRule="auto"/>
        <w:jc w:val="both"/>
        <w:rPr>
          <w:sz w:val="23"/>
          <w:szCs w:val="23"/>
        </w:rPr>
      </w:pPr>
      <w:r>
        <w:rPr>
          <w:sz w:val="23"/>
          <w:szCs w:val="23"/>
        </w:rPr>
        <w:t>Otwarcie istniejącej infrastruktury badawczej na nowych użytkowników w celu wypracowania nowych produktów odpowiadających na potrzeby społeczne w regionie. Wspieranie tworzenia klastrów.</w:t>
      </w:r>
    </w:p>
    <w:p w:rsidR="004A6C33" w:rsidRDefault="004A6C33" w:rsidP="00AE4777">
      <w:pPr>
        <w:pStyle w:val="Akapitzlist"/>
        <w:numPr>
          <w:ilvl w:val="0"/>
          <w:numId w:val="7"/>
        </w:numPr>
        <w:spacing w:line="24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Tworzenie porozumień i sieci współpracy pomiędzy podmiotami działającymi w obszarach inteligentnej specjalizacji. </w:t>
      </w:r>
    </w:p>
    <w:p w:rsidR="004A6C33" w:rsidRDefault="004A6C33" w:rsidP="00AE4777">
      <w:pPr>
        <w:pStyle w:val="Akapitzlist"/>
        <w:numPr>
          <w:ilvl w:val="0"/>
          <w:numId w:val="7"/>
        </w:numPr>
        <w:spacing w:line="240" w:lineRule="auto"/>
        <w:jc w:val="both"/>
        <w:rPr>
          <w:sz w:val="23"/>
          <w:szCs w:val="23"/>
        </w:rPr>
      </w:pPr>
      <w:r>
        <w:rPr>
          <w:sz w:val="23"/>
          <w:szCs w:val="23"/>
        </w:rPr>
        <w:t>Wprowadzanie rozwiązań ICT w celu wsparcia funkcjonujących procesów biznesowych.</w:t>
      </w:r>
    </w:p>
    <w:p w:rsidR="004A6C33" w:rsidRDefault="004A6C33" w:rsidP="00AE4777">
      <w:pPr>
        <w:pStyle w:val="Akapitzlist"/>
        <w:numPr>
          <w:ilvl w:val="0"/>
          <w:numId w:val="7"/>
        </w:numPr>
        <w:spacing w:line="24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Tworzenie powiązań międzysektorowych przedsiębiorstw, networking, wymiana doświadczeń. </w:t>
      </w:r>
    </w:p>
    <w:p w:rsidR="007E6B4F" w:rsidRPr="004A6C33" w:rsidRDefault="007E6B4F" w:rsidP="00AE4777">
      <w:pPr>
        <w:pStyle w:val="Akapitzlist"/>
        <w:numPr>
          <w:ilvl w:val="0"/>
          <w:numId w:val="7"/>
        </w:numPr>
        <w:spacing w:line="240" w:lineRule="auto"/>
        <w:jc w:val="both"/>
        <w:rPr>
          <w:sz w:val="23"/>
          <w:szCs w:val="23"/>
        </w:rPr>
      </w:pPr>
      <w:r>
        <w:rPr>
          <w:sz w:val="23"/>
          <w:szCs w:val="23"/>
        </w:rPr>
        <w:t>Identyfikacja i rozwój nisz rynkowych</w:t>
      </w:r>
      <w:r w:rsidR="00930D9D">
        <w:rPr>
          <w:sz w:val="23"/>
          <w:szCs w:val="23"/>
        </w:rPr>
        <w:t xml:space="preserve"> w celu rozwoju gospodarczego regionu.</w:t>
      </w:r>
    </w:p>
    <w:p w:rsidR="00FB6AC2" w:rsidRPr="00FB6AC2" w:rsidRDefault="00FB6AC2" w:rsidP="00FB6AC2">
      <w:pPr>
        <w:autoSpaceDE w:val="0"/>
        <w:autoSpaceDN w:val="0"/>
        <w:adjustRightInd w:val="0"/>
        <w:spacing w:line="240" w:lineRule="auto"/>
        <w:rPr>
          <w:rFonts w:cs="Calibri"/>
          <w:b/>
          <w:sz w:val="23"/>
          <w:szCs w:val="23"/>
          <w:u w:val="single"/>
        </w:rPr>
      </w:pPr>
      <w:r w:rsidRPr="00FB6AC2">
        <w:rPr>
          <w:rFonts w:cs="Calibri"/>
          <w:b/>
          <w:sz w:val="23"/>
          <w:szCs w:val="23"/>
          <w:u w:val="single"/>
        </w:rPr>
        <w:t>Grupy docelowe:</w:t>
      </w:r>
    </w:p>
    <w:p w:rsidR="00FB6AC2" w:rsidRDefault="00AE4777" w:rsidP="00AE4777">
      <w:pPr>
        <w:pStyle w:val="Akapitzlist"/>
        <w:numPr>
          <w:ilvl w:val="0"/>
          <w:numId w:val="8"/>
        </w:numPr>
        <w:spacing w:line="240" w:lineRule="auto"/>
        <w:jc w:val="both"/>
        <w:rPr>
          <w:sz w:val="23"/>
          <w:szCs w:val="23"/>
        </w:rPr>
      </w:pPr>
      <w:r>
        <w:rPr>
          <w:sz w:val="23"/>
          <w:szCs w:val="23"/>
        </w:rPr>
        <w:t>Administracja publiczna i</w:t>
      </w:r>
      <w:r w:rsidR="00FB6AC2" w:rsidRPr="00FB6AC2">
        <w:rPr>
          <w:sz w:val="23"/>
          <w:szCs w:val="23"/>
        </w:rPr>
        <w:t xml:space="preserve"> instytucje odpowiedzialne za planowanie i ewal</w:t>
      </w:r>
      <w:r>
        <w:rPr>
          <w:sz w:val="23"/>
          <w:szCs w:val="23"/>
        </w:rPr>
        <w:t>uację infrastruktury badawczej i</w:t>
      </w:r>
      <w:r w:rsidR="00FB6AC2" w:rsidRPr="00FB6AC2">
        <w:rPr>
          <w:sz w:val="23"/>
          <w:szCs w:val="23"/>
        </w:rPr>
        <w:t xml:space="preserve"> innowacyjne</w:t>
      </w:r>
      <w:r>
        <w:rPr>
          <w:sz w:val="23"/>
          <w:szCs w:val="23"/>
        </w:rPr>
        <w:t>j</w:t>
      </w:r>
      <w:r w:rsidR="004A6C33">
        <w:rPr>
          <w:sz w:val="23"/>
          <w:szCs w:val="23"/>
        </w:rPr>
        <w:t xml:space="preserve"> oraz za tworzenie systemów innowacji</w:t>
      </w:r>
      <w:r w:rsidR="00FB6AC2" w:rsidRPr="00FB6AC2">
        <w:rPr>
          <w:sz w:val="23"/>
          <w:szCs w:val="23"/>
        </w:rPr>
        <w:t>;</w:t>
      </w:r>
    </w:p>
    <w:p w:rsidR="004A6C33" w:rsidRPr="004A6C33" w:rsidRDefault="004A6C33" w:rsidP="00AE4777">
      <w:pPr>
        <w:pStyle w:val="Akapitzlist"/>
        <w:numPr>
          <w:ilvl w:val="0"/>
          <w:numId w:val="8"/>
        </w:numPr>
        <w:spacing w:line="240" w:lineRule="auto"/>
        <w:jc w:val="both"/>
        <w:rPr>
          <w:sz w:val="23"/>
          <w:szCs w:val="23"/>
        </w:rPr>
      </w:pPr>
      <w:r w:rsidRPr="004A6C33">
        <w:rPr>
          <w:sz w:val="23"/>
          <w:szCs w:val="23"/>
        </w:rPr>
        <w:t>Przedsiębiorstwa (w tym MŚP);</w:t>
      </w:r>
    </w:p>
    <w:p w:rsidR="004A6C33" w:rsidRPr="004A6C33" w:rsidRDefault="004A6C33" w:rsidP="00AE4777">
      <w:pPr>
        <w:pStyle w:val="Akapitzlist"/>
        <w:numPr>
          <w:ilvl w:val="0"/>
          <w:numId w:val="8"/>
        </w:numPr>
        <w:spacing w:line="240" w:lineRule="auto"/>
        <w:jc w:val="both"/>
        <w:rPr>
          <w:sz w:val="23"/>
          <w:szCs w:val="23"/>
          <w:u w:val="single"/>
        </w:rPr>
      </w:pPr>
      <w:r w:rsidRPr="004A6C33">
        <w:rPr>
          <w:sz w:val="23"/>
          <w:szCs w:val="23"/>
          <w:u w:val="single"/>
        </w:rPr>
        <w:t xml:space="preserve">Uczelnie </w:t>
      </w:r>
      <w:r w:rsidR="001158D7">
        <w:rPr>
          <w:sz w:val="23"/>
          <w:szCs w:val="23"/>
          <w:u w:val="single"/>
        </w:rPr>
        <w:t>i instytucje</w:t>
      </w:r>
      <w:r w:rsidRPr="004A6C33">
        <w:rPr>
          <w:sz w:val="23"/>
          <w:szCs w:val="23"/>
          <w:u w:val="single"/>
        </w:rPr>
        <w:t xml:space="preserve"> badawcze;</w:t>
      </w:r>
    </w:p>
    <w:p w:rsidR="00FB6AC2" w:rsidRPr="00413DC6" w:rsidRDefault="00FB6AC2" w:rsidP="00AE4777">
      <w:pPr>
        <w:pStyle w:val="Akapitzlist"/>
        <w:numPr>
          <w:ilvl w:val="0"/>
          <w:numId w:val="8"/>
        </w:numPr>
        <w:spacing w:line="240" w:lineRule="auto"/>
        <w:jc w:val="both"/>
        <w:rPr>
          <w:sz w:val="23"/>
          <w:szCs w:val="23"/>
        </w:rPr>
      </w:pPr>
      <w:r w:rsidRPr="00413DC6">
        <w:rPr>
          <w:sz w:val="23"/>
          <w:szCs w:val="23"/>
        </w:rPr>
        <w:t>Organizacje będące operatorami istniejącej infrastruktury oraz potencjalni operatorzy;</w:t>
      </w:r>
    </w:p>
    <w:p w:rsidR="00FB6AC2" w:rsidRPr="00FB6AC2" w:rsidRDefault="00FB6AC2" w:rsidP="00AE4777">
      <w:pPr>
        <w:pStyle w:val="Akapitzlist"/>
        <w:numPr>
          <w:ilvl w:val="0"/>
          <w:numId w:val="8"/>
        </w:numPr>
        <w:spacing w:line="240" w:lineRule="auto"/>
        <w:jc w:val="both"/>
        <w:rPr>
          <w:sz w:val="23"/>
          <w:szCs w:val="23"/>
        </w:rPr>
      </w:pPr>
      <w:r>
        <w:rPr>
          <w:sz w:val="23"/>
          <w:szCs w:val="23"/>
        </w:rPr>
        <w:t>Instytucje zarządzające w programach finansujących inwestycje w infrastrukturę badawczą i innowacyjną;</w:t>
      </w:r>
    </w:p>
    <w:p w:rsidR="00FB6AC2" w:rsidRDefault="00FB6AC2" w:rsidP="00AE4777">
      <w:pPr>
        <w:pStyle w:val="Akapitzlist"/>
        <w:numPr>
          <w:ilvl w:val="0"/>
          <w:numId w:val="8"/>
        </w:numPr>
        <w:spacing w:line="240" w:lineRule="auto"/>
        <w:jc w:val="both"/>
        <w:rPr>
          <w:sz w:val="23"/>
          <w:szCs w:val="23"/>
        </w:rPr>
      </w:pPr>
      <w:r>
        <w:rPr>
          <w:sz w:val="23"/>
          <w:szCs w:val="23"/>
        </w:rPr>
        <w:t>Użytkownicy infrastruktury badawczej i innowacyjnej z sektorów nauki i biznesu, w tym MŚP;</w:t>
      </w:r>
    </w:p>
    <w:p w:rsidR="004A6C33" w:rsidRDefault="004A6C33" w:rsidP="00AE4777">
      <w:pPr>
        <w:pStyle w:val="Akapitzlist"/>
        <w:numPr>
          <w:ilvl w:val="0"/>
          <w:numId w:val="8"/>
        </w:numPr>
        <w:spacing w:line="240" w:lineRule="auto"/>
        <w:jc w:val="both"/>
        <w:rPr>
          <w:sz w:val="23"/>
          <w:szCs w:val="23"/>
          <w:u w:val="single"/>
        </w:rPr>
      </w:pPr>
      <w:r w:rsidRPr="004A6C33">
        <w:rPr>
          <w:sz w:val="23"/>
          <w:szCs w:val="23"/>
          <w:u w:val="single"/>
        </w:rPr>
        <w:t>Centra transferu technologii;</w:t>
      </w:r>
    </w:p>
    <w:p w:rsidR="004A6C33" w:rsidRPr="004A6C33" w:rsidRDefault="004A6C33" w:rsidP="00AE4777">
      <w:pPr>
        <w:pStyle w:val="Akapitzlist"/>
        <w:numPr>
          <w:ilvl w:val="0"/>
          <w:numId w:val="8"/>
        </w:numPr>
        <w:spacing w:line="240" w:lineRule="auto"/>
        <w:jc w:val="both"/>
        <w:rPr>
          <w:sz w:val="23"/>
          <w:szCs w:val="23"/>
        </w:rPr>
      </w:pPr>
      <w:r w:rsidRPr="004A6C33">
        <w:rPr>
          <w:sz w:val="23"/>
          <w:szCs w:val="23"/>
        </w:rPr>
        <w:t>Sieci wsparcia innowacji i klastry;</w:t>
      </w:r>
    </w:p>
    <w:p w:rsidR="004A6C33" w:rsidRPr="004A6C33" w:rsidRDefault="004A6C33" w:rsidP="00AE4777">
      <w:pPr>
        <w:pStyle w:val="Akapitzlist"/>
        <w:numPr>
          <w:ilvl w:val="0"/>
          <w:numId w:val="8"/>
        </w:numPr>
        <w:spacing w:line="240" w:lineRule="auto"/>
        <w:jc w:val="both"/>
        <w:rPr>
          <w:sz w:val="23"/>
          <w:szCs w:val="23"/>
          <w:u w:val="single"/>
        </w:rPr>
      </w:pPr>
      <w:r w:rsidRPr="004A6C33">
        <w:rPr>
          <w:sz w:val="23"/>
          <w:szCs w:val="23"/>
        </w:rPr>
        <w:t>Organizacje pozarządow</w:t>
      </w:r>
      <w:r w:rsidRPr="00AE4777">
        <w:rPr>
          <w:sz w:val="23"/>
          <w:szCs w:val="23"/>
        </w:rPr>
        <w:t>e</w:t>
      </w:r>
      <w:r w:rsidR="00AE4777" w:rsidRPr="00AE4777">
        <w:rPr>
          <w:sz w:val="23"/>
          <w:szCs w:val="23"/>
        </w:rPr>
        <w:t>;</w:t>
      </w:r>
    </w:p>
    <w:p w:rsidR="00E538D7" w:rsidRPr="004A6C33" w:rsidRDefault="004A6C33" w:rsidP="00AE4777">
      <w:pPr>
        <w:pStyle w:val="Akapitzlist"/>
        <w:numPr>
          <w:ilvl w:val="0"/>
          <w:numId w:val="8"/>
        </w:numPr>
        <w:spacing w:line="240" w:lineRule="auto"/>
        <w:jc w:val="both"/>
        <w:rPr>
          <w:sz w:val="23"/>
          <w:szCs w:val="23"/>
        </w:rPr>
      </w:pPr>
      <w:r>
        <w:rPr>
          <w:sz w:val="23"/>
          <w:szCs w:val="23"/>
        </w:rPr>
        <w:t>Regionalne agencje rozwoju.</w:t>
      </w:r>
    </w:p>
    <w:p w:rsidR="00E538D7" w:rsidRPr="00E538D7" w:rsidRDefault="00E538D7" w:rsidP="00E538D7">
      <w:pPr>
        <w:pStyle w:val="Akapitzlist"/>
        <w:spacing w:line="240" w:lineRule="auto"/>
        <w:rPr>
          <w:rFonts w:cs="Calibri"/>
          <w:sz w:val="23"/>
          <w:szCs w:val="23"/>
        </w:rPr>
      </w:pPr>
    </w:p>
    <w:p w:rsidR="005606C0" w:rsidRPr="00822CB7" w:rsidRDefault="00194810" w:rsidP="00822CB7">
      <w:pPr>
        <w:pStyle w:val="Akapitzlist"/>
        <w:numPr>
          <w:ilvl w:val="0"/>
          <w:numId w:val="3"/>
        </w:numPr>
        <w:spacing w:after="0" w:line="240" w:lineRule="auto"/>
        <w:jc w:val="both"/>
        <w:rPr>
          <w:b/>
          <w:color w:val="00B050"/>
          <w:sz w:val="26"/>
          <w:szCs w:val="26"/>
        </w:rPr>
      </w:pPr>
      <w:r w:rsidRPr="00822CB7">
        <w:rPr>
          <w:b/>
          <w:color w:val="00B050"/>
          <w:sz w:val="26"/>
          <w:szCs w:val="26"/>
        </w:rPr>
        <w:t>Opis</w:t>
      </w:r>
      <w:r w:rsidR="000359BC">
        <w:rPr>
          <w:b/>
          <w:color w:val="00B050"/>
          <w:sz w:val="26"/>
          <w:szCs w:val="26"/>
        </w:rPr>
        <w:t xml:space="preserve"> Osi</w:t>
      </w:r>
      <w:r w:rsidRPr="00822CB7">
        <w:rPr>
          <w:b/>
          <w:color w:val="00B050"/>
          <w:sz w:val="26"/>
          <w:szCs w:val="26"/>
        </w:rPr>
        <w:t xml:space="preserve"> </w:t>
      </w:r>
      <w:r w:rsidR="000359BC">
        <w:rPr>
          <w:b/>
          <w:color w:val="00B050"/>
          <w:sz w:val="26"/>
          <w:szCs w:val="26"/>
        </w:rPr>
        <w:t>Priorytetowej</w:t>
      </w:r>
      <w:r w:rsidR="004A6C33" w:rsidRPr="00822CB7">
        <w:rPr>
          <w:b/>
          <w:color w:val="00B050"/>
          <w:sz w:val="26"/>
          <w:szCs w:val="26"/>
        </w:rPr>
        <w:t xml:space="preserve"> 2</w:t>
      </w:r>
      <w:r w:rsidR="00054618" w:rsidRPr="00822CB7">
        <w:rPr>
          <w:b/>
          <w:color w:val="00B050"/>
          <w:sz w:val="26"/>
          <w:szCs w:val="26"/>
        </w:rPr>
        <w:t xml:space="preserve"> Efektywne zarządzanie zasobami naturalnymi</w:t>
      </w:r>
    </w:p>
    <w:p w:rsidR="00E538D7" w:rsidRPr="005606C0" w:rsidRDefault="00E538D7" w:rsidP="005606C0">
      <w:pPr>
        <w:pStyle w:val="Akapitzlist"/>
        <w:spacing w:after="0" w:line="240" w:lineRule="auto"/>
        <w:jc w:val="both"/>
        <w:rPr>
          <w:b/>
          <w:color w:val="E36C0A" w:themeColor="accent6" w:themeShade="BF"/>
          <w:sz w:val="26"/>
          <w:szCs w:val="26"/>
        </w:rPr>
      </w:pPr>
    </w:p>
    <w:p w:rsidR="00194810" w:rsidRPr="005606C0" w:rsidRDefault="00194810" w:rsidP="00E538D7">
      <w:pPr>
        <w:spacing w:line="240" w:lineRule="auto"/>
        <w:rPr>
          <w:b/>
          <w:color w:val="E36C0A" w:themeColor="accent6" w:themeShade="BF"/>
          <w:sz w:val="26"/>
          <w:szCs w:val="26"/>
        </w:rPr>
      </w:pPr>
      <w:r w:rsidRPr="005606C0">
        <w:rPr>
          <w:b/>
          <w:sz w:val="23"/>
          <w:szCs w:val="23"/>
          <w:u w:val="single"/>
        </w:rPr>
        <w:t>Cele szczegółowe</w:t>
      </w:r>
      <w:r w:rsidR="00595590">
        <w:rPr>
          <w:b/>
          <w:sz w:val="23"/>
          <w:szCs w:val="23"/>
          <w:u w:val="single"/>
        </w:rPr>
        <w:t>:</w:t>
      </w:r>
    </w:p>
    <w:p w:rsidR="00054618" w:rsidRDefault="000359BC" w:rsidP="00054618">
      <w:p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2.1 Czyste wody</w:t>
      </w:r>
    </w:p>
    <w:p w:rsidR="00054618" w:rsidRDefault="00054618" w:rsidP="00054618">
      <w:p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2.2. Energia odnawialna</w:t>
      </w:r>
    </w:p>
    <w:p w:rsidR="00054618" w:rsidRDefault="00054618" w:rsidP="00054618">
      <w:p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 xml:space="preserve">2.3 </w:t>
      </w:r>
      <w:r w:rsidR="00E8104A">
        <w:rPr>
          <w:rFonts w:cs="Calibri"/>
          <w:sz w:val="23"/>
          <w:szCs w:val="23"/>
        </w:rPr>
        <w:t>Efektywność energetyczna</w:t>
      </w:r>
    </w:p>
    <w:p w:rsidR="00E8104A" w:rsidRDefault="00E8104A" w:rsidP="00054618">
      <w:p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lastRenderedPageBreak/>
        <w:t>2.4 Niebieski wzrost przy efektywnym wykorzystaniu zasobów</w:t>
      </w:r>
    </w:p>
    <w:p w:rsidR="00E8104A" w:rsidRDefault="00E8104A" w:rsidP="00E8104A">
      <w:pPr>
        <w:spacing w:line="240" w:lineRule="auto"/>
        <w:jc w:val="both"/>
        <w:rPr>
          <w:b/>
          <w:sz w:val="23"/>
          <w:szCs w:val="23"/>
          <w:u w:val="single"/>
        </w:rPr>
      </w:pPr>
      <w:r w:rsidRPr="00CD780D">
        <w:rPr>
          <w:b/>
          <w:sz w:val="23"/>
          <w:szCs w:val="23"/>
          <w:u w:val="single"/>
        </w:rPr>
        <w:t>Oczekiwane efekty:</w:t>
      </w:r>
    </w:p>
    <w:p w:rsidR="00E8104A" w:rsidRDefault="00E8104A" w:rsidP="00C175BF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Zwiększenie efektywności gospodarki wodnej.</w:t>
      </w:r>
    </w:p>
    <w:p w:rsidR="00E8104A" w:rsidRDefault="00E8104A" w:rsidP="00C175BF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Zwiększenie produkcji i zastosowanie energii odnawialnej w oparciu o zwiększoną aktywność w tym zakresie organizacji publicznych i prywatnych zaangażowanych w proces planowania i dostarczania energii.</w:t>
      </w:r>
    </w:p>
    <w:p w:rsidR="00E8104A" w:rsidRPr="00E8104A" w:rsidRDefault="00E8104A" w:rsidP="00C175BF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Zwiększenie efektywności energetycznej w oparciu</w:t>
      </w:r>
      <w:r w:rsidRPr="00E8104A">
        <w:rPr>
          <w:rFonts w:cs="Calibri"/>
          <w:sz w:val="23"/>
          <w:szCs w:val="23"/>
        </w:rPr>
        <w:t xml:space="preserve"> o działania organizacji publicznych i prywatnych odpowiedzialnych za planowanie.</w:t>
      </w:r>
    </w:p>
    <w:p w:rsidR="00E8104A" w:rsidRDefault="00E8104A" w:rsidP="00C175BF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Wsparcie niebieskiego wzrostu w oparciu o administrację publiczna oraz praktyków z niebieskich sektorów gospodarki.</w:t>
      </w:r>
    </w:p>
    <w:p w:rsidR="007E6B4F" w:rsidRPr="007E6B4F" w:rsidRDefault="007E6B4F" w:rsidP="007E6B4F">
      <w:pPr>
        <w:spacing w:line="240" w:lineRule="auto"/>
        <w:rPr>
          <w:b/>
          <w:sz w:val="23"/>
          <w:szCs w:val="23"/>
          <w:u w:val="single"/>
        </w:rPr>
      </w:pPr>
      <w:r w:rsidRPr="007E6B4F">
        <w:rPr>
          <w:b/>
          <w:sz w:val="23"/>
          <w:szCs w:val="23"/>
          <w:u w:val="single"/>
        </w:rPr>
        <w:t>Przykłady działań:</w:t>
      </w:r>
    </w:p>
    <w:p w:rsidR="00E8104A" w:rsidRDefault="007E6B4F" w:rsidP="00C175BF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Wspólne działania na rzecz ochrony wód Morza Bałtyckiego, opracowanie dobrych praktyk i zarysów polityk w tym zakresie.</w:t>
      </w:r>
    </w:p>
    <w:p w:rsidR="007E6B4F" w:rsidRDefault="00930D9D" w:rsidP="00C175BF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Rozwój instrumentów wspierających wzrost produkcji energii odnawialnej w oparciu o zasoby dostępne w regionie.</w:t>
      </w:r>
    </w:p>
    <w:p w:rsidR="00930D9D" w:rsidRDefault="00930D9D" w:rsidP="00C175BF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 xml:space="preserve">Testowanie innowacyjnych zielonych rozwiązań w zakresie produkcji energii ze źródeł odnawialnych, </w:t>
      </w:r>
      <w:r w:rsidR="00AE4777">
        <w:rPr>
          <w:rFonts w:cs="Calibri"/>
          <w:sz w:val="23"/>
          <w:szCs w:val="23"/>
        </w:rPr>
        <w:br/>
      </w:r>
      <w:r>
        <w:rPr>
          <w:rFonts w:cs="Calibri"/>
          <w:sz w:val="23"/>
          <w:szCs w:val="23"/>
        </w:rPr>
        <w:t>w tym inwestycji pilotażowych.</w:t>
      </w:r>
    </w:p>
    <w:p w:rsidR="00930D9D" w:rsidRDefault="00930D9D" w:rsidP="00C175BF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Ocena i testowanie alternatywnych technologii odzyskiwania energii.</w:t>
      </w:r>
    </w:p>
    <w:p w:rsidR="00930D9D" w:rsidRDefault="00930D9D" w:rsidP="00C175BF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Wsparcie sieci zrównoważonej energii (reorganizacja inteligentnych sieci, wirtualne elektrownie, integracja magazynowania).</w:t>
      </w:r>
    </w:p>
    <w:p w:rsidR="00930D9D" w:rsidRDefault="00930D9D" w:rsidP="00C175BF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Nowe technologie magazynowania i dystrybucji.</w:t>
      </w:r>
    </w:p>
    <w:p w:rsidR="00930D9D" w:rsidRDefault="00930D9D" w:rsidP="00C175BF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Rozwój strategii energetycznych na terenach miejskich i wiejskich.</w:t>
      </w:r>
    </w:p>
    <w:p w:rsidR="00930D9D" w:rsidRDefault="00930D9D" w:rsidP="00C175BF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Lepsza koordynacja regionalnego planowania energetycznego wśród krajów regionu.</w:t>
      </w:r>
    </w:p>
    <w:p w:rsidR="00930D9D" w:rsidRDefault="00A131AE" w:rsidP="00C175BF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Rozwój instrumentów wspomagających termomodernizację obiektów publicznych i przemysłowych.</w:t>
      </w:r>
    </w:p>
    <w:p w:rsidR="00A131AE" w:rsidRDefault="00A131AE" w:rsidP="00C175BF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Rozwój nowych modeli finansowania działań w obszarze efektywności energetycznej.</w:t>
      </w:r>
    </w:p>
    <w:p w:rsidR="00A131AE" w:rsidRDefault="00A131AE" w:rsidP="00C175BF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 xml:space="preserve">Rozwój wielopoziomowych transnarodowych strategii optymalizacji zużycia zasobów, działania na rzecz powstawania obszarów wolnych od emisji, zakładające współpracę z dostawcami energii. </w:t>
      </w:r>
    </w:p>
    <w:p w:rsidR="00A131AE" w:rsidRDefault="00A131AE" w:rsidP="00C175BF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Szkolenia, warsztaty w obszarze energii odnawialnej i efektywności energetycznej.</w:t>
      </w:r>
    </w:p>
    <w:p w:rsidR="00A131AE" w:rsidRDefault="00A131AE" w:rsidP="00C175BF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Zachęty dla efektywnej energetycznie działalności gospodarczej i tworzenia efektywnych energetycznie produktów i usług.</w:t>
      </w:r>
    </w:p>
    <w:p w:rsidR="00A131AE" w:rsidRPr="007E6B4F" w:rsidRDefault="00A131AE" w:rsidP="00C175BF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Rozwój i koordynacja strategii niebieskiego wzrostu, współpraca organizacji i instytucji z niebieskich sektorów.</w:t>
      </w:r>
    </w:p>
    <w:p w:rsidR="00A131AE" w:rsidRPr="00A131AE" w:rsidRDefault="00A131AE" w:rsidP="00A131AE">
      <w:pPr>
        <w:autoSpaceDE w:val="0"/>
        <w:autoSpaceDN w:val="0"/>
        <w:adjustRightInd w:val="0"/>
        <w:spacing w:line="240" w:lineRule="auto"/>
        <w:rPr>
          <w:rFonts w:cs="Calibri"/>
          <w:b/>
          <w:sz w:val="23"/>
          <w:szCs w:val="23"/>
          <w:u w:val="single"/>
        </w:rPr>
      </w:pPr>
      <w:r w:rsidRPr="00A131AE">
        <w:rPr>
          <w:rFonts w:cs="Calibri"/>
          <w:b/>
          <w:sz w:val="23"/>
          <w:szCs w:val="23"/>
          <w:u w:val="single"/>
        </w:rPr>
        <w:t>Grupy docelowe:</w:t>
      </w:r>
    </w:p>
    <w:p w:rsidR="00054618" w:rsidRDefault="00A131AE" w:rsidP="00C175BF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Administracja publiczna;</w:t>
      </w:r>
    </w:p>
    <w:p w:rsidR="00A131AE" w:rsidRDefault="00A131AE" w:rsidP="00C175BF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Organizacje międzyrządowe;</w:t>
      </w:r>
    </w:p>
    <w:p w:rsidR="00A131AE" w:rsidRDefault="001158D7" w:rsidP="00C175BF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Agencje ochrony środowiska i organizacje środowiskowe;</w:t>
      </w:r>
    </w:p>
    <w:p w:rsidR="001158D7" w:rsidRDefault="001158D7" w:rsidP="00C175BF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Oczyszczalnie ścieków;</w:t>
      </w:r>
    </w:p>
    <w:p w:rsidR="001158D7" w:rsidRDefault="001158D7" w:rsidP="00C175BF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Organizacje pozarządowe;</w:t>
      </w:r>
    </w:p>
    <w:p w:rsidR="001158D7" w:rsidRDefault="001158D7" w:rsidP="00C175BF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Przedsiębiorstwa;</w:t>
      </w:r>
    </w:p>
    <w:p w:rsidR="001158D7" w:rsidRPr="001158D7" w:rsidRDefault="001158D7" w:rsidP="00C175BF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  <w:u w:val="single"/>
        </w:rPr>
      </w:pPr>
      <w:r w:rsidRPr="001158D7">
        <w:rPr>
          <w:rFonts w:cs="Calibri"/>
          <w:sz w:val="23"/>
          <w:szCs w:val="23"/>
          <w:u w:val="single"/>
        </w:rPr>
        <w:t>Uczelnie i instytucje badawcze;</w:t>
      </w:r>
    </w:p>
    <w:p w:rsidR="001158D7" w:rsidRDefault="001158D7" w:rsidP="00C175BF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Dostawcy energii;</w:t>
      </w:r>
    </w:p>
    <w:p w:rsidR="005606C0" w:rsidRDefault="001158D7" w:rsidP="00413DC6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Organizacje zajmujące się leśnictwem i rolnictwem.</w:t>
      </w:r>
    </w:p>
    <w:p w:rsidR="00AE4777" w:rsidRDefault="00AE4777" w:rsidP="00AE4777">
      <w:pPr>
        <w:pStyle w:val="Akapitzlist"/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</w:p>
    <w:p w:rsidR="00D97A01" w:rsidRPr="00822CB7" w:rsidRDefault="00D97A01" w:rsidP="00822CB7">
      <w:pPr>
        <w:pStyle w:val="Akapitzlist"/>
        <w:numPr>
          <w:ilvl w:val="0"/>
          <w:numId w:val="3"/>
        </w:numPr>
        <w:spacing w:after="0" w:line="240" w:lineRule="auto"/>
        <w:jc w:val="both"/>
        <w:rPr>
          <w:b/>
          <w:color w:val="00B050"/>
          <w:sz w:val="26"/>
          <w:szCs w:val="26"/>
        </w:rPr>
      </w:pPr>
      <w:r w:rsidRPr="00822CB7">
        <w:rPr>
          <w:b/>
          <w:color w:val="00B050"/>
          <w:sz w:val="26"/>
          <w:szCs w:val="26"/>
        </w:rPr>
        <w:t xml:space="preserve">Opis Priorytetu </w:t>
      </w:r>
      <w:r w:rsidR="00F04EFD" w:rsidRPr="00822CB7">
        <w:rPr>
          <w:b/>
          <w:color w:val="00B050"/>
          <w:sz w:val="26"/>
          <w:szCs w:val="26"/>
        </w:rPr>
        <w:t>3 Zrównoważony transport</w:t>
      </w:r>
    </w:p>
    <w:p w:rsidR="00D97A01" w:rsidRPr="005606C0" w:rsidRDefault="00D97A01" w:rsidP="00D97A01">
      <w:pPr>
        <w:pStyle w:val="Akapitzlist"/>
        <w:spacing w:after="0" w:line="240" w:lineRule="auto"/>
        <w:jc w:val="both"/>
        <w:rPr>
          <w:b/>
          <w:color w:val="E36C0A" w:themeColor="accent6" w:themeShade="BF"/>
          <w:sz w:val="26"/>
          <w:szCs w:val="26"/>
        </w:rPr>
      </w:pPr>
    </w:p>
    <w:p w:rsidR="00D97A01" w:rsidRPr="005606C0" w:rsidRDefault="00D97A01" w:rsidP="00D97A01">
      <w:pPr>
        <w:spacing w:line="240" w:lineRule="auto"/>
        <w:rPr>
          <w:b/>
          <w:color w:val="E36C0A" w:themeColor="accent6" w:themeShade="BF"/>
          <w:sz w:val="26"/>
          <w:szCs w:val="26"/>
        </w:rPr>
      </w:pPr>
      <w:r w:rsidRPr="005606C0">
        <w:rPr>
          <w:b/>
          <w:sz w:val="23"/>
          <w:szCs w:val="23"/>
          <w:u w:val="single"/>
        </w:rPr>
        <w:t>Cele szczegółowe</w:t>
      </w:r>
      <w:r>
        <w:rPr>
          <w:b/>
          <w:sz w:val="23"/>
          <w:szCs w:val="23"/>
          <w:u w:val="single"/>
        </w:rPr>
        <w:t>:</w:t>
      </w:r>
    </w:p>
    <w:p w:rsidR="00D97A01" w:rsidRDefault="00F04EFD" w:rsidP="00D97A01">
      <w:p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3.1 Interoperacyjność transportu</w:t>
      </w:r>
    </w:p>
    <w:p w:rsidR="00D97A01" w:rsidRDefault="00F04EFD" w:rsidP="00D97A01">
      <w:p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3.2 Dostępność terenów odległych oraz obszarów dotkniętych zmianami demograficznymi</w:t>
      </w:r>
    </w:p>
    <w:p w:rsidR="00D97A01" w:rsidRDefault="00F04EFD" w:rsidP="00D97A01">
      <w:p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lastRenderedPageBreak/>
        <w:t>3.3 Bezpieczeństwo morskie</w:t>
      </w:r>
    </w:p>
    <w:p w:rsidR="00D97A01" w:rsidRDefault="000359BC" w:rsidP="00D97A01">
      <w:p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3.4 Żegluga przyjazna</w:t>
      </w:r>
      <w:r w:rsidR="00F04EFD">
        <w:rPr>
          <w:rFonts w:cs="Calibri"/>
          <w:sz w:val="23"/>
          <w:szCs w:val="23"/>
        </w:rPr>
        <w:t xml:space="preserve"> środowisku</w:t>
      </w:r>
    </w:p>
    <w:p w:rsidR="00F04EFD" w:rsidRDefault="00F04EFD" w:rsidP="00D97A01">
      <w:p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3.5 Mobilność miejska przykazana środowisku</w:t>
      </w:r>
    </w:p>
    <w:p w:rsidR="00D97A01" w:rsidRDefault="00D97A01" w:rsidP="00D97A01">
      <w:pPr>
        <w:spacing w:line="240" w:lineRule="auto"/>
        <w:jc w:val="both"/>
        <w:rPr>
          <w:b/>
          <w:sz w:val="23"/>
          <w:szCs w:val="23"/>
          <w:u w:val="single"/>
        </w:rPr>
      </w:pPr>
      <w:r w:rsidRPr="00CD780D">
        <w:rPr>
          <w:b/>
          <w:sz w:val="23"/>
          <w:szCs w:val="23"/>
          <w:u w:val="single"/>
        </w:rPr>
        <w:t>Oczekiwane efekty:</w:t>
      </w:r>
    </w:p>
    <w:p w:rsidR="00D97A01" w:rsidRDefault="00D97A01" w:rsidP="000B246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 xml:space="preserve">Zwiększenie </w:t>
      </w:r>
      <w:r w:rsidR="000B246C">
        <w:rPr>
          <w:rFonts w:cs="Calibri"/>
          <w:sz w:val="23"/>
          <w:szCs w:val="23"/>
        </w:rPr>
        <w:t xml:space="preserve">efektywności organizacji transportowych w celu zapewnienia większej interoperacyjności </w:t>
      </w:r>
      <w:r w:rsidR="00AE4777">
        <w:rPr>
          <w:rFonts w:cs="Calibri"/>
          <w:sz w:val="23"/>
          <w:szCs w:val="23"/>
        </w:rPr>
        <w:br/>
      </w:r>
      <w:r w:rsidR="000B246C">
        <w:rPr>
          <w:rFonts w:cs="Calibri"/>
          <w:sz w:val="23"/>
          <w:szCs w:val="23"/>
        </w:rPr>
        <w:t xml:space="preserve">w transporcie dóbr i osób na odcinkach północ – południe i wschód – zachód. </w:t>
      </w:r>
    </w:p>
    <w:p w:rsidR="000B246C" w:rsidRDefault="00D97A01" w:rsidP="000B246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 xml:space="preserve">Zwiększenie </w:t>
      </w:r>
      <w:r w:rsidR="000B246C">
        <w:rPr>
          <w:rFonts w:cs="Calibri"/>
          <w:sz w:val="23"/>
          <w:szCs w:val="23"/>
        </w:rPr>
        <w:t>dostępności najbardziej odległych miejsc oraz regionów, których dostępność jest utrudniona ze względu na przemiany demograficzne w oparciu o zwiększenie efektywności organizacji transportowych.</w:t>
      </w:r>
    </w:p>
    <w:p w:rsidR="000B246C" w:rsidRDefault="000B246C" w:rsidP="000B246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Większe bezpieczeństwo ruchu na morzu.</w:t>
      </w:r>
    </w:p>
    <w:p w:rsidR="000B246C" w:rsidRDefault="000B246C" w:rsidP="000B246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Zwiększone bezpieczeństwo i szybkość dostaw.</w:t>
      </w:r>
    </w:p>
    <w:p w:rsidR="000B246C" w:rsidRDefault="000B246C" w:rsidP="000B246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Łatwiejszy i szybszy transport na terenach miejskich.</w:t>
      </w:r>
    </w:p>
    <w:p w:rsidR="00CC64DE" w:rsidRDefault="00CC64DE" w:rsidP="000B246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Zwiększenie potencjału ekonomicznego i turystycznego regionu.</w:t>
      </w:r>
    </w:p>
    <w:p w:rsidR="00D97A01" w:rsidRPr="007E6B4F" w:rsidRDefault="00D97A01" w:rsidP="00D97A01">
      <w:pPr>
        <w:spacing w:line="240" w:lineRule="auto"/>
        <w:rPr>
          <w:b/>
          <w:sz w:val="23"/>
          <w:szCs w:val="23"/>
          <w:u w:val="single"/>
        </w:rPr>
      </w:pPr>
      <w:r w:rsidRPr="007E6B4F">
        <w:rPr>
          <w:b/>
          <w:sz w:val="23"/>
          <w:szCs w:val="23"/>
          <w:u w:val="single"/>
        </w:rPr>
        <w:t>Przykłady działań:</w:t>
      </w:r>
    </w:p>
    <w:p w:rsidR="000B246C" w:rsidRDefault="000B246C" w:rsidP="000B246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Wspólne planowanie sieci transportowych (dłuższych i krótszych), w tym transgranicznych.</w:t>
      </w:r>
    </w:p>
    <w:p w:rsidR="000B246C" w:rsidRDefault="000B246C" w:rsidP="000B246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Zwalczanie barier administracyjnych i fiskalnych w celu poprawy transportu transgranicznego.</w:t>
      </w:r>
    </w:p>
    <w:p w:rsidR="000B246C" w:rsidRDefault="000B246C" w:rsidP="000B246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Ułatwienie procedur celnych poprzez promowanie autostrad bałtyckich i krótkiej ścieżki dostaw.</w:t>
      </w:r>
    </w:p>
    <w:p w:rsidR="000B246C" w:rsidRDefault="009B630C" w:rsidP="000B246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 xml:space="preserve">Tworzenie hubów regionalnych, multimodalnych węzłów transportowych i portów oraz łączenie ich </w:t>
      </w:r>
      <w:r w:rsidR="00AE4777">
        <w:rPr>
          <w:rFonts w:cs="Calibri"/>
          <w:sz w:val="23"/>
          <w:szCs w:val="23"/>
        </w:rPr>
        <w:br/>
      </w:r>
      <w:r>
        <w:rPr>
          <w:rFonts w:cs="Calibri"/>
          <w:sz w:val="23"/>
          <w:szCs w:val="23"/>
        </w:rPr>
        <w:t>z sieciami transportu śródlądowego.</w:t>
      </w:r>
    </w:p>
    <w:p w:rsidR="009B630C" w:rsidRDefault="009B630C" w:rsidP="000B246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Harmonizacja regulacji transportowych.</w:t>
      </w:r>
    </w:p>
    <w:p w:rsidR="009B630C" w:rsidRDefault="009B630C" w:rsidP="000B246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Tworzenie platform w celu bodowy korytarzy transportowych.</w:t>
      </w:r>
    </w:p>
    <w:p w:rsidR="009B630C" w:rsidRDefault="009B630C" w:rsidP="000B246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Opracowanie rozwiązań w zakresie bezpieczeństwa transportu i reakcj</w:t>
      </w:r>
      <w:r w:rsidR="00425BDB">
        <w:rPr>
          <w:rFonts w:cs="Calibri"/>
          <w:sz w:val="23"/>
          <w:szCs w:val="23"/>
        </w:rPr>
        <w:t>i</w:t>
      </w:r>
      <w:r>
        <w:rPr>
          <w:rFonts w:cs="Calibri"/>
          <w:sz w:val="23"/>
          <w:szCs w:val="23"/>
        </w:rPr>
        <w:t xml:space="preserve"> na katastrofy ekologiczne.</w:t>
      </w:r>
    </w:p>
    <w:p w:rsidR="009B630C" w:rsidRDefault="00425BDB" w:rsidP="000B246C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Opracowanie i wdrożenie schematów zarządzania mobilnością w oparciu o istniejącą infrastrukturę</w:t>
      </w:r>
      <w:r w:rsidR="00AE4777">
        <w:rPr>
          <w:rFonts w:cs="Calibri"/>
          <w:sz w:val="23"/>
          <w:szCs w:val="23"/>
        </w:rPr>
        <w:t xml:space="preserve"> </w:t>
      </w:r>
      <w:r w:rsidR="00AE4777">
        <w:rPr>
          <w:rFonts w:cs="Calibri"/>
          <w:sz w:val="23"/>
          <w:szCs w:val="23"/>
        </w:rPr>
        <w:br/>
      </w:r>
      <w:r>
        <w:rPr>
          <w:rFonts w:cs="Calibri"/>
          <w:sz w:val="23"/>
          <w:szCs w:val="23"/>
        </w:rPr>
        <w:t>w sposób bardziej efektywny i przyjazny dla użytkowników.</w:t>
      </w:r>
    </w:p>
    <w:p w:rsidR="00D43AF7" w:rsidRDefault="00425BDB" w:rsidP="00D43AF7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Stworzenie pilotażowych programów finansowania infrastruktury.</w:t>
      </w:r>
    </w:p>
    <w:p w:rsidR="00D43AF7" w:rsidRDefault="00D43AF7" w:rsidP="00D43AF7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Opracowanie strategii większej dostępności regionu do celów ekonomicznych i turystycznych.</w:t>
      </w:r>
    </w:p>
    <w:p w:rsidR="00D43AF7" w:rsidRDefault="00D43AF7" w:rsidP="00D43AF7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Harmonizacja przepisów i regulacji bezpieczeństwa w transporcie.</w:t>
      </w:r>
    </w:p>
    <w:p w:rsidR="00D43AF7" w:rsidRDefault="00D43AF7" w:rsidP="00D43AF7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Zwiększenie jakości i zasięgu monitoringu morskiego.</w:t>
      </w:r>
    </w:p>
    <w:p w:rsidR="00D43AF7" w:rsidRDefault="00D43AF7" w:rsidP="00D43AF7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Podejmowanie działań mających na celu zmniejszenie wielkości emisji do atmosfery i morza, pochodzących z transportów.</w:t>
      </w:r>
    </w:p>
    <w:p w:rsidR="00D43AF7" w:rsidRDefault="00D43AF7" w:rsidP="00D43AF7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Opracowanie spójnego systemu informacji na temat dostaw (oszczędny transport, informacja portowa, oszczędzanie energii i bardziej ekologiczny transport).</w:t>
      </w:r>
    </w:p>
    <w:p w:rsidR="00D43AF7" w:rsidRDefault="00D43AF7" w:rsidP="00D43AF7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Działania na rzecz stworzenia zintegrowanego i zrównoważonego systemu transportowego.</w:t>
      </w:r>
    </w:p>
    <w:p w:rsidR="00D43AF7" w:rsidRDefault="00D43AF7" w:rsidP="00D43AF7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Audytowanie i identyfikacja wąskich gardeł w transporcie miejskim.</w:t>
      </w:r>
    </w:p>
    <w:p w:rsidR="00D43AF7" w:rsidRDefault="00D43AF7" w:rsidP="00D43AF7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Działania na rzecz zmniejszenia emisji dwutlenku węgla w transporcie miejskim.</w:t>
      </w:r>
    </w:p>
    <w:p w:rsidR="00D43AF7" w:rsidRPr="008126AF" w:rsidRDefault="00D43AF7" w:rsidP="00D97A01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Transport hybrydowy i alternatywny.</w:t>
      </w:r>
    </w:p>
    <w:p w:rsidR="00D97A01" w:rsidRPr="00A131AE" w:rsidRDefault="00D97A01" w:rsidP="00D97A01">
      <w:pPr>
        <w:autoSpaceDE w:val="0"/>
        <w:autoSpaceDN w:val="0"/>
        <w:adjustRightInd w:val="0"/>
        <w:spacing w:line="240" w:lineRule="auto"/>
        <w:rPr>
          <w:rFonts w:cs="Calibri"/>
          <w:b/>
          <w:sz w:val="23"/>
          <w:szCs w:val="23"/>
          <w:u w:val="single"/>
        </w:rPr>
      </w:pPr>
      <w:r w:rsidRPr="00A131AE">
        <w:rPr>
          <w:rFonts w:cs="Calibri"/>
          <w:b/>
          <w:sz w:val="23"/>
          <w:szCs w:val="23"/>
          <w:u w:val="single"/>
        </w:rPr>
        <w:t>Grupy docelowe:</w:t>
      </w:r>
    </w:p>
    <w:p w:rsidR="00D97A01" w:rsidRDefault="00D97A01" w:rsidP="00D97A01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Administracja publiczna;</w:t>
      </w:r>
    </w:p>
    <w:p w:rsidR="000B246C" w:rsidRDefault="000B246C" w:rsidP="00D97A01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Przedsiębiorstwa;</w:t>
      </w:r>
    </w:p>
    <w:p w:rsidR="00D97A01" w:rsidRPr="000B246C" w:rsidRDefault="00D97A01" w:rsidP="000B246C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 w:rsidRPr="000B246C">
        <w:rPr>
          <w:rFonts w:cs="Calibri"/>
          <w:sz w:val="23"/>
          <w:szCs w:val="23"/>
        </w:rPr>
        <w:t>Organizacje międzyrządowe</w:t>
      </w:r>
      <w:r w:rsidR="000B246C">
        <w:rPr>
          <w:rFonts w:cs="Calibri"/>
          <w:sz w:val="23"/>
          <w:szCs w:val="23"/>
        </w:rPr>
        <w:t xml:space="preserve"> i międzynarodowe</w:t>
      </w:r>
      <w:r w:rsidRPr="000B246C">
        <w:rPr>
          <w:rFonts w:cs="Calibri"/>
          <w:sz w:val="23"/>
          <w:szCs w:val="23"/>
        </w:rPr>
        <w:t>;</w:t>
      </w:r>
    </w:p>
    <w:p w:rsidR="00D97A01" w:rsidRDefault="00D97A01" w:rsidP="00D97A01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  <w:u w:val="single"/>
        </w:rPr>
      </w:pPr>
      <w:r w:rsidRPr="001158D7">
        <w:rPr>
          <w:rFonts w:cs="Calibri"/>
          <w:sz w:val="23"/>
          <w:szCs w:val="23"/>
          <w:u w:val="single"/>
        </w:rPr>
        <w:t>Uczelnie i instytucje badawcze;</w:t>
      </w:r>
    </w:p>
    <w:p w:rsidR="00D43AF7" w:rsidRPr="00D43AF7" w:rsidRDefault="00D43AF7" w:rsidP="00D97A01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 w:rsidRPr="00D43AF7">
        <w:rPr>
          <w:rFonts w:cs="Calibri"/>
          <w:sz w:val="23"/>
          <w:szCs w:val="23"/>
        </w:rPr>
        <w:t>Służby ratownicze;</w:t>
      </w:r>
    </w:p>
    <w:p w:rsidR="00D97A01" w:rsidRPr="00A131AE" w:rsidRDefault="000B246C" w:rsidP="00D97A01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Organizacje pozarządowe.</w:t>
      </w:r>
    </w:p>
    <w:p w:rsidR="002A61C7" w:rsidRDefault="002A61C7" w:rsidP="009B3F8E">
      <w:p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</w:p>
    <w:p w:rsidR="009B3F8E" w:rsidRPr="00822CB7" w:rsidRDefault="002A61C7" w:rsidP="00822CB7">
      <w:pPr>
        <w:pStyle w:val="Akapitzlist"/>
        <w:numPr>
          <w:ilvl w:val="0"/>
          <w:numId w:val="3"/>
        </w:numPr>
        <w:spacing w:after="0" w:line="240" w:lineRule="auto"/>
        <w:jc w:val="both"/>
        <w:rPr>
          <w:b/>
          <w:color w:val="00B050"/>
          <w:sz w:val="26"/>
          <w:szCs w:val="26"/>
        </w:rPr>
      </w:pPr>
      <w:r w:rsidRPr="00822CB7">
        <w:rPr>
          <w:b/>
          <w:color w:val="00B050"/>
          <w:sz w:val="26"/>
          <w:szCs w:val="26"/>
        </w:rPr>
        <w:t xml:space="preserve">Opis Priorytetu </w:t>
      </w:r>
      <w:r w:rsidR="009B3F8E" w:rsidRPr="00822CB7">
        <w:rPr>
          <w:b/>
          <w:color w:val="00B050"/>
          <w:sz w:val="26"/>
          <w:szCs w:val="26"/>
        </w:rPr>
        <w:t xml:space="preserve">4 </w:t>
      </w:r>
      <w:r w:rsidR="000359BC">
        <w:rPr>
          <w:b/>
          <w:color w:val="00B050"/>
          <w:sz w:val="26"/>
          <w:szCs w:val="26"/>
        </w:rPr>
        <w:t>Zdolność instytucjonalna w zakresie współpracy makroregionalnej</w:t>
      </w:r>
    </w:p>
    <w:p w:rsidR="002A61C7" w:rsidRPr="005606C0" w:rsidRDefault="002A61C7" w:rsidP="002A61C7">
      <w:pPr>
        <w:pStyle w:val="Akapitzlist"/>
        <w:spacing w:after="0" w:line="240" w:lineRule="auto"/>
        <w:jc w:val="both"/>
        <w:rPr>
          <w:b/>
          <w:color w:val="E36C0A" w:themeColor="accent6" w:themeShade="BF"/>
          <w:sz w:val="26"/>
          <w:szCs w:val="26"/>
        </w:rPr>
      </w:pPr>
    </w:p>
    <w:p w:rsidR="002A61C7" w:rsidRDefault="002A61C7" w:rsidP="002A61C7">
      <w:pPr>
        <w:spacing w:line="240" w:lineRule="auto"/>
        <w:rPr>
          <w:b/>
          <w:sz w:val="23"/>
          <w:szCs w:val="23"/>
          <w:u w:val="single"/>
        </w:rPr>
      </w:pPr>
      <w:r w:rsidRPr="005606C0">
        <w:rPr>
          <w:b/>
          <w:sz w:val="23"/>
          <w:szCs w:val="23"/>
          <w:u w:val="single"/>
        </w:rPr>
        <w:t>Cele szczegółowe</w:t>
      </w:r>
      <w:r>
        <w:rPr>
          <w:b/>
          <w:sz w:val="23"/>
          <w:szCs w:val="23"/>
          <w:u w:val="single"/>
        </w:rPr>
        <w:t>:</w:t>
      </w:r>
    </w:p>
    <w:p w:rsidR="000359BC" w:rsidRPr="000359BC" w:rsidRDefault="000359BC" w:rsidP="000359BC">
      <w:pPr>
        <w:spacing w:line="240" w:lineRule="auto"/>
        <w:rPr>
          <w:sz w:val="26"/>
          <w:szCs w:val="26"/>
        </w:rPr>
      </w:pPr>
      <w:r>
        <w:rPr>
          <w:sz w:val="26"/>
          <w:szCs w:val="26"/>
        </w:rPr>
        <w:lastRenderedPageBreak/>
        <w:t>4.1 Seed money</w:t>
      </w:r>
    </w:p>
    <w:p w:rsidR="000359BC" w:rsidRPr="000359BC" w:rsidRDefault="000359BC" w:rsidP="000359BC">
      <w:pPr>
        <w:spacing w:line="240" w:lineRule="auto"/>
        <w:rPr>
          <w:sz w:val="26"/>
          <w:szCs w:val="26"/>
        </w:rPr>
      </w:pPr>
      <w:r>
        <w:rPr>
          <w:sz w:val="26"/>
          <w:szCs w:val="26"/>
        </w:rPr>
        <w:t xml:space="preserve">4.2 </w:t>
      </w:r>
      <w:r w:rsidRPr="000359BC">
        <w:rPr>
          <w:sz w:val="26"/>
          <w:szCs w:val="26"/>
        </w:rPr>
        <w:t>Koordynacja współpracy makroregionalnej</w:t>
      </w:r>
    </w:p>
    <w:p w:rsidR="002A61C7" w:rsidRDefault="002A61C7" w:rsidP="002A61C7">
      <w:pPr>
        <w:spacing w:line="240" w:lineRule="auto"/>
        <w:jc w:val="both"/>
        <w:rPr>
          <w:b/>
          <w:sz w:val="23"/>
          <w:szCs w:val="23"/>
          <w:u w:val="single"/>
        </w:rPr>
      </w:pPr>
      <w:r w:rsidRPr="00CD780D">
        <w:rPr>
          <w:b/>
          <w:sz w:val="23"/>
          <w:szCs w:val="23"/>
          <w:u w:val="single"/>
        </w:rPr>
        <w:t>Oczekiwane efekty:</w:t>
      </w:r>
    </w:p>
    <w:p w:rsidR="00192641" w:rsidRDefault="00192641" w:rsidP="00192641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Wzmocnienie współpracy pomiędzy państwami regionu Morza Bałtyckiego.</w:t>
      </w:r>
    </w:p>
    <w:p w:rsidR="000359BC" w:rsidRDefault="000359BC" w:rsidP="000359BC">
      <w:pPr>
        <w:pStyle w:val="Akapitzlist"/>
        <w:numPr>
          <w:ilvl w:val="0"/>
          <w:numId w:val="20"/>
        </w:numPr>
        <w:spacing w:line="240" w:lineRule="auto"/>
        <w:rPr>
          <w:sz w:val="26"/>
          <w:szCs w:val="26"/>
        </w:rPr>
      </w:pPr>
      <w:r w:rsidRPr="000359BC">
        <w:rPr>
          <w:sz w:val="26"/>
          <w:szCs w:val="26"/>
        </w:rPr>
        <w:t>Zwiększenie potencjału w zakresie współpracy transnarodowej przy implementacji Strategii UE dla Regionu Morza Bałtyckiego oraz współpracy z krajami partnerskimi w zakresie wspólnych priorytetów</w:t>
      </w:r>
      <w:r>
        <w:rPr>
          <w:sz w:val="26"/>
          <w:szCs w:val="26"/>
        </w:rPr>
        <w:t>.</w:t>
      </w:r>
    </w:p>
    <w:p w:rsidR="000359BC" w:rsidRPr="000359BC" w:rsidRDefault="000359BC" w:rsidP="000359BC">
      <w:pPr>
        <w:pStyle w:val="Akapitzlist"/>
        <w:numPr>
          <w:ilvl w:val="0"/>
          <w:numId w:val="20"/>
        </w:numPr>
        <w:spacing w:line="240" w:lineRule="auto"/>
        <w:rPr>
          <w:sz w:val="26"/>
          <w:szCs w:val="26"/>
        </w:rPr>
      </w:pPr>
      <w:r w:rsidRPr="000359BC">
        <w:rPr>
          <w:sz w:val="26"/>
          <w:szCs w:val="26"/>
        </w:rPr>
        <w:t>Zwiększenie zdolności instytucji publicznych i organizacji panbałtyckich w zakresie koordynacji transnarodowej przy implementacji Strategii UE dla Regionu Morza Bałtyckiego oraz umożliwieniu implementacji priorytetów wspólnych z krajami partnerskimi.</w:t>
      </w:r>
    </w:p>
    <w:p w:rsidR="002A61C7" w:rsidRPr="007E6B4F" w:rsidRDefault="002A61C7" w:rsidP="002A61C7">
      <w:pPr>
        <w:spacing w:line="240" w:lineRule="auto"/>
        <w:rPr>
          <w:b/>
          <w:sz w:val="23"/>
          <w:szCs w:val="23"/>
          <w:u w:val="single"/>
        </w:rPr>
      </w:pPr>
      <w:r w:rsidRPr="007E6B4F">
        <w:rPr>
          <w:b/>
          <w:sz w:val="23"/>
          <w:szCs w:val="23"/>
          <w:u w:val="single"/>
        </w:rPr>
        <w:t>Przykłady działań:</w:t>
      </w:r>
    </w:p>
    <w:p w:rsidR="00192641" w:rsidRDefault="00192641" w:rsidP="00192641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Wsparcie dla Koordynatorów Obszarów Priorytetowych (PAC) oraz Liderów Działań Horyzontalnych (HAL).</w:t>
      </w:r>
    </w:p>
    <w:p w:rsidR="00192641" w:rsidRDefault="00192641" w:rsidP="00192641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Organizacja Forów Strategicznych EUSBSR.</w:t>
      </w:r>
    </w:p>
    <w:p w:rsidR="00192641" w:rsidRPr="006D5763" w:rsidRDefault="00192641" w:rsidP="006D5763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Tworzenie punktów kontaktowych.</w:t>
      </w:r>
    </w:p>
    <w:p w:rsidR="002A61C7" w:rsidRPr="00A131AE" w:rsidRDefault="002A61C7" w:rsidP="002A61C7">
      <w:pPr>
        <w:autoSpaceDE w:val="0"/>
        <w:autoSpaceDN w:val="0"/>
        <w:adjustRightInd w:val="0"/>
        <w:spacing w:line="240" w:lineRule="auto"/>
        <w:rPr>
          <w:rFonts w:cs="Calibri"/>
          <w:b/>
          <w:sz w:val="23"/>
          <w:szCs w:val="23"/>
          <w:u w:val="single"/>
        </w:rPr>
      </w:pPr>
      <w:r w:rsidRPr="00A131AE">
        <w:rPr>
          <w:rFonts w:cs="Calibri"/>
          <w:b/>
          <w:sz w:val="23"/>
          <w:szCs w:val="23"/>
          <w:u w:val="single"/>
        </w:rPr>
        <w:t>Grupy docelowe:</w:t>
      </w:r>
    </w:p>
    <w:p w:rsidR="006D5763" w:rsidRDefault="006D5763" w:rsidP="002A61C7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Koordynatorzy Obszarów Priorytetowych i Liderzy Działań Horyzontalnych;</w:t>
      </w:r>
    </w:p>
    <w:p w:rsidR="006D5763" w:rsidRDefault="006D5763" w:rsidP="002A61C7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Międzynarodowe i narodowe instytucje odpowiedzialne za wdrożenie i realizacje Strategii oraz koordynatorzy w krajach partnerskich;</w:t>
      </w:r>
    </w:p>
    <w:p w:rsidR="006D5763" w:rsidRDefault="006D5763" w:rsidP="002A61C7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Narodowe Punkty Kontaktowe Strategii;</w:t>
      </w:r>
    </w:p>
    <w:p w:rsidR="006D5763" w:rsidRDefault="006D5763" w:rsidP="002A61C7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Administracja publiczna;</w:t>
      </w:r>
    </w:p>
    <w:p w:rsidR="006D5763" w:rsidRPr="006D5763" w:rsidRDefault="006D5763" w:rsidP="002A61C7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  <w:u w:val="single"/>
        </w:rPr>
      </w:pPr>
      <w:r w:rsidRPr="006D5763">
        <w:rPr>
          <w:rFonts w:cs="Calibri"/>
          <w:sz w:val="23"/>
          <w:szCs w:val="23"/>
          <w:u w:val="single"/>
        </w:rPr>
        <w:t>Instytucje badawcze;</w:t>
      </w:r>
    </w:p>
    <w:p w:rsidR="006D5763" w:rsidRDefault="006D5763" w:rsidP="002A61C7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>Organizacje międzyrządowe;</w:t>
      </w:r>
    </w:p>
    <w:p w:rsidR="00CD780D" w:rsidRPr="006D5763" w:rsidRDefault="006D5763" w:rsidP="00666425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line="240" w:lineRule="auto"/>
        <w:jc w:val="both"/>
        <w:rPr>
          <w:rFonts w:cs="Calibri"/>
          <w:sz w:val="23"/>
          <w:szCs w:val="23"/>
        </w:rPr>
      </w:pPr>
      <w:r>
        <w:rPr>
          <w:rFonts w:cs="Calibri"/>
          <w:sz w:val="23"/>
          <w:szCs w:val="23"/>
        </w:rPr>
        <w:t xml:space="preserve">Organizacje </w:t>
      </w:r>
      <w:r w:rsidR="00577EC7">
        <w:rPr>
          <w:rFonts w:cs="Calibri"/>
          <w:sz w:val="23"/>
          <w:szCs w:val="23"/>
        </w:rPr>
        <w:t>pozarządowe.</w:t>
      </w:r>
    </w:p>
    <w:p w:rsidR="005606C0" w:rsidRDefault="005606C0">
      <w:pPr>
        <w:rPr>
          <w:sz w:val="19"/>
          <w:szCs w:val="19"/>
        </w:rPr>
      </w:pPr>
    </w:p>
    <w:p w:rsidR="00E538D7" w:rsidRDefault="00E538D7">
      <w:pPr>
        <w:rPr>
          <w:sz w:val="19"/>
          <w:szCs w:val="19"/>
        </w:rPr>
      </w:pPr>
    </w:p>
    <w:p w:rsidR="00E538D7" w:rsidRDefault="00E538D7">
      <w:pPr>
        <w:rPr>
          <w:sz w:val="19"/>
          <w:szCs w:val="19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797F6A" w:rsidTr="00651339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F6A" w:rsidRPr="0076612C" w:rsidRDefault="00797F6A" w:rsidP="00797F6A">
            <w:pPr>
              <w:autoSpaceDE w:val="0"/>
              <w:autoSpaceDN w:val="0"/>
              <w:adjustRightInd w:val="0"/>
              <w:jc w:val="both"/>
              <w:rPr>
                <w:b/>
                <w:color w:val="FFC000"/>
              </w:rPr>
            </w:pPr>
            <w:r w:rsidRPr="00797F6A">
              <w:rPr>
                <w:b/>
                <w:color w:val="00B050"/>
              </w:rPr>
              <w:t>Informacje zawarte w niniejszej broszurze przygotowane zostały w oparciu o Dokument programu współpracy INTERREG REGIONU MORZA BAŁTYCKIEGO</w:t>
            </w:r>
          </w:p>
        </w:tc>
      </w:tr>
    </w:tbl>
    <w:p w:rsidR="00895FB8" w:rsidRDefault="00895FB8">
      <w:pPr>
        <w:rPr>
          <w:sz w:val="19"/>
          <w:szCs w:val="19"/>
        </w:rPr>
      </w:pPr>
    </w:p>
    <w:p w:rsidR="00895FB8" w:rsidRPr="006D5763" w:rsidRDefault="00895FB8">
      <w:pPr>
        <w:rPr>
          <w:sz w:val="19"/>
          <w:szCs w:val="19"/>
        </w:rPr>
      </w:pPr>
    </w:p>
    <w:sectPr w:rsidR="00895FB8" w:rsidRPr="006D5763" w:rsidSect="004E3A84">
      <w:pgSz w:w="11906" w:h="16838"/>
      <w:pgMar w:top="567" w:right="720" w:bottom="567" w:left="720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6A2A" w:rsidRDefault="00E16A2A" w:rsidP="000A3D51">
      <w:pPr>
        <w:spacing w:after="0" w:line="240" w:lineRule="auto"/>
      </w:pPr>
      <w:r>
        <w:separator/>
      </w:r>
    </w:p>
  </w:endnote>
  <w:endnote w:type="continuationSeparator" w:id="0">
    <w:p w:rsidR="00E16A2A" w:rsidRDefault="00E16A2A" w:rsidP="000A3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6A2A" w:rsidRDefault="00E16A2A" w:rsidP="000A3D51">
      <w:pPr>
        <w:spacing w:after="0" w:line="240" w:lineRule="auto"/>
      </w:pPr>
      <w:r>
        <w:separator/>
      </w:r>
    </w:p>
  </w:footnote>
  <w:footnote w:type="continuationSeparator" w:id="0">
    <w:p w:rsidR="00E16A2A" w:rsidRDefault="00E16A2A" w:rsidP="000A3D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16.5pt;height:23pt" o:bullet="t">
        <v:imagedata r:id="rId1" o:title="art8BF2"/>
      </v:shape>
    </w:pict>
  </w:numPicBullet>
  <w:abstractNum w:abstractNumId="0" w15:restartNumberingAfterBreak="0">
    <w:nsid w:val="03B022E0"/>
    <w:multiLevelType w:val="multilevel"/>
    <w:tmpl w:val="2A869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3337A9"/>
    <w:multiLevelType w:val="hybridMultilevel"/>
    <w:tmpl w:val="398C3FCE"/>
    <w:lvl w:ilvl="0" w:tplc="7BEED7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1D3097"/>
    <w:multiLevelType w:val="hybridMultilevel"/>
    <w:tmpl w:val="5BF6492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8A320E"/>
    <w:multiLevelType w:val="hybridMultilevel"/>
    <w:tmpl w:val="FC5609A6"/>
    <w:lvl w:ilvl="0" w:tplc="2E34F2F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CAB68B6"/>
    <w:multiLevelType w:val="multilevel"/>
    <w:tmpl w:val="9EE8B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6B2F37"/>
    <w:multiLevelType w:val="multilevel"/>
    <w:tmpl w:val="3F180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CBC3EE8"/>
    <w:multiLevelType w:val="hybridMultilevel"/>
    <w:tmpl w:val="13784A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663EE8"/>
    <w:multiLevelType w:val="hybridMultilevel"/>
    <w:tmpl w:val="BABC5A52"/>
    <w:lvl w:ilvl="0" w:tplc="58D68506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2137CE"/>
    <w:multiLevelType w:val="multilevel"/>
    <w:tmpl w:val="0BA2A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50638C4"/>
    <w:multiLevelType w:val="multilevel"/>
    <w:tmpl w:val="FB30F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5213850"/>
    <w:multiLevelType w:val="hybridMultilevel"/>
    <w:tmpl w:val="39141610"/>
    <w:lvl w:ilvl="0" w:tplc="B11E7BB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521F9C"/>
    <w:multiLevelType w:val="hybridMultilevel"/>
    <w:tmpl w:val="93F0E59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875921"/>
    <w:multiLevelType w:val="multilevel"/>
    <w:tmpl w:val="31D4E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FB101EF"/>
    <w:multiLevelType w:val="hybridMultilevel"/>
    <w:tmpl w:val="D9FA0B04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762A3C"/>
    <w:multiLevelType w:val="multilevel"/>
    <w:tmpl w:val="E51CFA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5CBF4350"/>
    <w:multiLevelType w:val="hybridMultilevel"/>
    <w:tmpl w:val="D88AC492"/>
    <w:lvl w:ilvl="0" w:tplc="B3B6F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00B05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CF0E47"/>
    <w:multiLevelType w:val="hybridMultilevel"/>
    <w:tmpl w:val="CDA81CE2"/>
    <w:lvl w:ilvl="0" w:tplc="77BCF94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8C4D19"/>
    <w:multiLevelType w:val="hybridMultilevel"/>
    <w:tmpl w:val="FF34FEAC"/>
    <w:lvl w:ilvl="0" w:tplc="ED3A532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F53EC0"/>
    <w:multiLevelType w:val="hybridMultilevel"/>
    <w:tmpl w:val="FE245F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D06B5C"/>
    <w:multiLevelType w:val="hybridMultilevel"/>
    <w:tmpl w:val="94EC92D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F3F6298"/>
    <w:multiLevelType w:val="multilevel"/>
    <w:tmpl w:val="75409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5"/>
  </w:num>
  <w:num w:numId="3">
    <w:abstractNumId w:val="13"/>
  </w:num>
  <w:num w:numId="4">
    <w:abstractNumId w:val="4"/>
  </w:num>
  <w:num w:numId="5">
    <w:abstractNumId w:val="14"/>
  </w:num>
  <w:num w:numId="6">
    <w:abstractNumId w:val="19"/>
  </w:num>
  <w:num w:numId="7">
    <w:abstractNumId w:val="7"/>
  </w:num>
  <w:num w:numId="8">
    <w:abstractNumId w:val="6"/>
  </w:num>
  <w:num w:numId="9">
    <w:abstractNumId w:val="11"/>
  </w:num>
  <w:num w:numId="10">
    <w:abstractNumId w:val="2"/>
  </w:num>
  <w:num w:numId="11">
    <w:abstractNumId w:val="18"/>
  </w:num>
  <w:num w:numId="12">
    <w:abstractNumId w:val="8"/>
  </w:num>
  <w:num w:numId="13">
    <w:abstractNumId w:val="9"/>
  </w:num>
  <w:num w:numId="14">
    <w:abstractNumId w:val="5"/>
  </w:num>
  <w:num w:numId="15">
    <w:abstractNumId w:val="0"/>
  </w:num>
  <w:num w:numId="16">
    <w:abstractNumId w:val="12"/>
  </w:num>
  <w:num w:numId="17">
    <w:abstractNumId w:val="16"/>
  </w:num>
  <w:num w:numId="18">
    <w:abstractNumId w:val="1"/>
  </w:num>
  <w:num w:numId="19">
    <w:abstractNumId w:val="20"/>
  </w:num>
  <w:num w:numId="20">
    <w:abstractNumId w:val="10"/>
  </w:num>
  <w:num w:numId="21">
    <w:abstractNumId w:val="17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576"/>
    <w:rsid w:val="000033DD"/>
    <w:rsid w:val="00005560"/>
    <w:rsid w:val="00020851"/>
    <w:rsid w:val="000359BC"/>
    <w:rsid w:val="00035A35"/>
    <w:rsid w:val="000437DB"/>
    <w:rsid w:val="00054618"/>
    <w:rsid w:val="000663C8"/>
    <w:rsid w:val="00072F8A"/>
    <w:rsid w:val="000A0459"/>
    <w:rsid w:val="000A34C8"/>
    <w:rsid w:val="000A3D51"/>
    <w:rsid w:val="000A4764"/>
    <w:rsid w:val="000A6632"/>
    <w:rsid w:val="000B246C"/>
    <w:rsid w:val="000C64B1"/>
    <w:rsid w:val="000D3617"/>
    <w:rsid w:val="000F5CF2"/>
    <w:rsid w:val="001043FA"/>
    <w:rsid w:val="001158D7"/>
    <w:rsid w:val="00131C59"/>
    <w:rsid w:val="00132B7D"/>
    <w:rsid w:val="00192641"/>
    <w:rsid w:val="00194810"/>
    <w:rsid w:val="00197151"/>
    <w:rsid w:val="002002D0"/>
    <w:rsid w:val="0021770C"/>
    <w:rsid w:val="0023231B"/>
    <w:rsid w:val="00252484"/>
    <w:rsid w:val="00266641"/>
    <w:rsid w:val="002A5465"/>
    <w:rsid w:val="002A61C7"/>
    <w:rsid w:val="002B6FCF"/>
    <w:rsid w:val="002D78BE"/>
    <w:rsid w:val="002E52DE"/>
    <w:rsid w:val="002E5402"/>
    <w:rsid w:val="002F6E83"/>
    <w:rsid w:val="003055CB"/>
    <w:rsid w:val="00334D07"/>
    <w:rsid w:val="00335DD6"/>
    <w:rsid w:val="00371B4F"/>
    <w:rsid w:val="00374F13"/>
    <w:rsid w:val="003768F3"/>
    <w:rsid w:val="0038379B"/>
    <w:rsid w:val="003A6629"/>
    <w:rsid w:val="003B2EE6"/>
    <w:rsid w:val="003E3809"/>
    <w:rsid w:val="003F46F0"/>
    <w:rsid w:val="00413DC6"/>
    <w:rsid w:val="00425BDB"/>
    <w:rsid w:val="00437628"/>
    <w:rsid w:val="00443687"/>
    <w:rsid w:val="0047348A"/>
    <w:rsid w:val="004A6C33"/>
    <w:rsid w:val="004E3A84"/>
    <w:rsid w:val="00526063"/>
    <w:rsid w:val="005508A9"/>
    <w:rsid w:val="005606C0"/>
    <w:rsid w:val="00561FC8"/>
    <w:rsid w:val="00576289"/>
    <w:rsid w:val="00577EC7"/>
    <w:rsid w:val="00595590"/>
    <w:rsid w:val="005C4736"/>
    <w:rsid w:val="005F6868"/>
    <w:rsid w:val="00611B71"/>
    <w:rsid w:val="006203E7"/>
    <w:rsid w:val="00623243"/>
    <w:rsid w:val="00637AC5"/>
    <w:rsid w:val="00640DA9"/>
    <w:rsid w:val="00666425"/>
    <w:rsid w:val="006D1064"/>
    <w:rsid w:val="006D5763"/>
    <w:rsid w:val="006E7BDC"/>
    <w:rsid w:val="00704320"/>
    <w:rsid w:val="00764E88"/>
    <w:rsid w:val="00797F6A"/>
    <w:rsid w:val="007C4C2F"/>
    <w:rsid w:val="007E6B4F"/>
    <w:rsid w:val="008126AF"/>
    <w:rsid w:val="00822CB7"/>
    <w:rsid w:val="00874804"/>
    <w:rsid w:val="00895FB8"/>
    <w:rsid w:val="008B4D2B"/>
    <w:rsid w:val="008F36F9"/>
    <w:rsid w:val="00930D9D"/>
    <w:rsid w:val="009601B7"/>
    <w:rsid w:val="00962278"/>
    <w:rsid w:val="009817BF"/>
    <w:rsid w:val="00997DD9"/>
    <w:rsid w:val="009A33F3"/>
    <w:rsid w:val="009B3F8E"/>
    <w:rsid w:val="009B630C"/>
    <w:rsid w:val="009C0EAC"/>
    <w:rsid w:val="009C779A"/>
    <w:rsid w:val="009D3A0C"/>
    <w:rsid w:val="009D6382"/>
    <w:rsid w:val="009E2AE6"/>
    <w:rsid w:val="009E7FD5"/>
    <w:rsid w:val="00A131AE"/>
    <w:rsid w:val="00A21693"/>
    <w:rsid w:val="00A333CC"/>
    <w:rsid w:val="00A404FE"/>
    <w:rsid w:val="00A64E9A"/>
    <w:rsid w:val="00A9117A"/>
    <w:rsid w:val="00AB6120"/>
    <w:rsid w:val="00AB7CFD"/>
    <w:rsid w:val="00AE4777"/>
    <w:rsid w:val="00AF3189"/>
    <w:rsid w:val="00B105A7"/>
    <w:rsid w:val="00B24680"/>
    <w:rsid w:val="00B25364"/>
    <w:rsid w:val="00B84778"/>
    <w:rsid w:val="00B96220"/>
    <w:rsid w:val="00BB70B1"/>
    <w:rsid w:val="00C12B82"/>
    <w:rsid w:val="00C14485"/>
    <w:rsid w:val="00C175BF"/>
    <w:rsid w:val="00C36D51"/>
    <w:rsid w:val="00C67EA0"/>
    <w:rsid w:val="00CC64DE"/>
    <w:rsid w:val="00CD780D"/>
    <w:rsid w:val="00D1539F"/>
    <w:rsid w:val="00D25C92"/>
    <w:rsid w:val="00D43AF7"/>
    <w:rsid w:val="00D8181C"/>
    <w:rsid w:val="00D97A01"/>
    <w:rsid w:val="00E16A2A"/>
    <w:rsid w:val="00E31B45"/>
    <w:rsid w:val="00E31B98"/>
    <w:rsid w:val="00E37313"/>
    <w:rsid w:val="00E538D7"/>
    <w:rsid w:val="00E73576"/>
    <w:rsid w:val="00E8104A"/>
    <w:rsid w:val="00EB251F"/>
    <w:rsid w:val="00EC41C4"/>
    <w:rsid w:val="00EE2793"/>
    <w:rsid w:val="00F04EFD"/>
    <w:rsid w:val="00F115B6"/>
    <w:rsid w:val="00F42113"/>
    <w:rsid w:val="00F535AE"/>
    <w:rsid w:val="00F618C1"/>
    <w:rsid w:val="00F66E74"/>
    <w:rsid w:val="00F71D59"/>
    <w:rsid w:val="00FB6AC2"/>
    <w:rsid w:val="00FB7329"/>
    <w:rsid w:val="00FC2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248F7E0-4A79-4850-B8FC-F6A208331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404F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D78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19481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A3D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A3D51"/>
  </w:style>
  <w:style w:type="paragraph" w:styleId="Stopka">
    <w:name w:val="footer"/>
    <w:basedOn w:val="Normalny"/>
    <w:link w:val="StopkaZnak"/>
    <w:uiPriority w:val="99"/>
    <w:unhideWhenUsed/>
    <w:rsid w:val="000A3D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A3D51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C779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C779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C779A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955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5590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F71D5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93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25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85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73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14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869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9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1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0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2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942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538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030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0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B81054-E43E-4294-B526-ED10C97BC7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1640</Words>
  <Characters>9842</Characters>
  <Application>Microsoft Office Word</Application>
  <DocSecurity>0</DocSecurity>
  <Lines>82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Anita</cp:lastModifiedBy>
  <cp:revision>4</cp:revision>
  <cp:lastPrinted>2015-01-30T14:32:00Z</cp:lastPrinted>
  <dcterms:created xsi:type="dcterms:W3CDTF">2015-12-04T10:06:00Z</dcterms:created>
  <dcterms:modified xsi:type="dcterms:W3CDTF">2015-12-04T10:33:00Z</dcterms:modified>
</cp:coreProperties>
</file>